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92F2" w14:textId="70192EE6" w:rsidR="00156A8B" w:rsidRPr="00850990" w:rsidRDefault="006C76ED" w:rsidP="007B12D2">
      <w:pPr>
        <w:ind w:right="-3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50990">
        <w:rPr>
          <w:b/>
          <w:bCs/>
          <w:sz w:val="36"/>
          <w:szCs w:val="36"/>
        </w:rPr>
        <w:t xml:space="preserve">Liste des relevés des </w:t>
      </w:r>
      <w:r w:rsidR="007B12D2" w:rsidRPr="00850990">
        <w:rPr>
          <w:b/>
          <w:bCs/>
          <w:sz w:val="36"/>
          <w:szCs w:val="36"/>
        </w:rPr>
        <w:t>notes</w:t>
      </w:r>
      <w:r w:rsidR="007B12D2">
        <w:rPr>
          <w:b/>
          <w:bCs/>
          <w:sz w:val="36"/>
          <w:szCs w:val="36"/>
        </w:rPr>
        <w:t>,</w:t>
      </w:r>
      <w:r w:rsidRPr="00850990">
        <w:rPr>
          <w:b/>
          <w:bCs/>
          <w:sz w:val="36"/>
          <w:szCs w:val="36"/>
        </w:rPr>
        <w:t xml:space="preserve"> attestations de réussite</w:t>
      </w:r>
      <w:r w:rsidR="007B12D2">
        <w:rPr>
          <w:b/>
          <w:bCs/>
          <w:sz w:val="36"/>
          <w:szCs w:val="36"/>
        </w:rPr>
        <w:t xml:space="preserve"> et diplômes</w:t>
      </w:r>
      <w:r w:rsidR="00850990" w:rsidRPr="00850990">
        <w:rPr>
          <w:b/>
          <w:bCs/>
          <w:sz w:val="36"/>
          <w:szCs w:val="36"/>
        </w:rPr>
        <w:t xml:space="preserve"> </w:t>
      </w:r>
      <w:r w:rsidRPr="00850990">
        <w:rPr>
          <w:b/>
          <w:bCs/>
          <w:sz w:val="36"/>
          <w:szCs w:val="36"/>
        </w:rPr>
        <w:t>Disponibles au guichet de scolarité</w:t>
      </w:r>
    </w:p>
    <w:p w14:paraId="7F4C51EF" w14:textId="77777777" w:rsidR="006C76ED" w:rsidRPr="00850990" w:rsidRDefault="006C76ED" w:rsidP="006C76ED">
      <w:pPr>
        <w:jc w:val="center"/>
        <w:rPr>
          <w:b/>
          <w:bCs/>
          <w:sz w:val="8"/>
          <w:szCs w:val="8"/>
        </w:rPr>
      </w:pPr>
    </w:p>
    <w:tbl>
      <w:tblPr>
        <w:tblStyle w:val="Grilledutableau"/>
        <w:tblW w:w="15735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35"/>
        <w:gridCol w:w="2977"/>
        <w:gridCol w:w="2551"/>
        <w:gridCol w:w="2835"/>
        <w:gridCol w:w="2977"/>
      </w:tblGrid>
      <w:tr w:rsidR="007934D5" w14:paraId="6D95AEA3" w14:textId="499901EA" w:rsidTr="009A43BD">
        <w:tc>
          <w:tcPr>
            <w:tcW w:w="1560" w:type="dxa"/>
            <w:vMerge w:val="restart"/>
            <w:vAlign w:val="center"/>
          </w:tcPr>
          <w:p w14:paraId="2AB81975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d’études</w:t>
            </w:r>
          </w:p>
        </w:tc>
        <w:tc>
          <w:tcPr>
            <w:tcW w:w="5812" w:type="dxa"/>
            <w:gridSpan w:val="2"/>
          </w:tcPr>
          <w:p w14:paraId="73B561B0" w14:textId="0786441D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 à la Session Principale</w:t>
            </w:r>
          </w:p>
        </w:tc>
        <w:tc>
          <w:tcPr>
            <w:tcW w:w="5386" w:type="dxa"/>
            <w:gridSpan w:val="2"/>
          </w:tcPr>
          <w:p w14:paraId="10718205" w14:textId="1F552F38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 à la Session de rattrapage</w:t>
            </w:r>
          </w:p>
        </w:tc>
        <w:tc>
          <w:tcPr>
            <w:tcW w:w="2977" w:type="dxa"/>
            <w:vMerge w:val="restart"/>
            <w:vAlign w:val="center"/>
          </w:tcPr>
          <w:p w14:paraId="604A75F8" w14:textId="5C1B267E" w:rsidR="007934D5" w:rsidRPr="00CE30B5" w:rsidRDefault="007934D5" w:rsidP="006C76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E30B5">
              <w:rPr>
                <w:b/>
                <w:bCs/>
                <w:color w:val="FF0000"/>
                <w:sz w:val="28"/>
                <w:szCs w:val="28"/>
              </w:rPr>
              <w:t>Diplôme</w:t>
            </w:r>
            <w:r w:rsidR="00CE30B5" w:rsidRPr="00CE30B5">
              <w:rPr>
                <w:b/>
                <w:bCs/>
                <w:color w:val="FF0000"/>
                <w:sz w:val="28"/>
                <w:szCs w:val="28"/>
              </w:rPr>
              <w:t>s</w:t>
            </w:r>
          </w:p>
          <w:p w14:paraId="0DEB4AC6" w14:textId="239C8336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CE30B5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934D5" w14:paraId="6FAD4738" w14:textId="16A03C77" w:rsidTr="009A43BD">
        <w:tc>
          <w:tcPr>
            <w:tcW w:w="1560" w:type="dxa"/>
            <w:vMerge/>
          </w:tcPr>
          <w:p w14:paraId="2259A598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326DCA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Relevés des notes</w:t>
            </w:r>
          </w:p>
        </w:tc>
        <w:tc>
          <w:tcPr>
            <w:tcW w:w="2977" w:type="dxa"/>
          </w:tcPr>
          <w:p w14:paraId="7DAAD9B6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Attestations de réussite</w:t>
            </w:r>
          </w:p>
        </w:tc>
        <w:tc>
          <w:tcPr>
            <w:tcW w:w="2551" w:type="dxa"/>
          </w:tcPr>
          <w:p w14:paraId="1E6F1A93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Relevés des notes</w:t>
            </w:r>
          </w:p>
        </w:tc>
        <w:tc>
          <w:tcPr>
            <w:tcW w:w="2835" w:type="dxa"/>
          </w:tcPr>
          <w:p w14:paraId="275B2BD5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Attestations de réussite</w:t>
            </w:r>
          </w:p>
        </w:tc>
        <w:tc>
          <w:tcPr>
            <w:tcW w:w="2977" w:type="dxa"/>
            <w:vMerge/>
          </w:tcPr>
          <w:p w14:paraId="1C3C4CFE" w14:textId="77777777"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34D5" w14:paraId="1C89AD50" w14:textId="506262BF" w:rsidTr="009A43BD">
        <w:trPr>
          <w:trHeight w:val="284"/>
        </w:trPr>
        <w:tc>
          <w:tcPr>
            <w:tcW w:w="1560" w:type="dxa"/>
            <w:vAlign w:val="center"/>
          </w:tcPr>
          <w:p w14:paraId="65921C10" w14:textId="77777777" w:rsidR="007934D5" w:rsidRPr="007B12D2" w:rsidRDefault="007934D5" w:rsidP="006C76ED">
            <w:pPr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LFG-MG</w:t>
            </w:r>
          </w:p>
        </w:tc>
        <w:tc>
          <w:tcPr>
            <w:tcW w:w="2835" w:type="dxa"/>
          </w:tcPr>
          <w:p w14:paraId="314B813B" w14:textId="77777777" w:rsidR="007934D5" w:rsidRPr="00850990" w:rsidRDefault="007934D5" w:rsidP="007B12D2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</w:t>
            </w:r>
            <w:r w:rsidRPr="00850990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850990">
              <w:rPr>
                <w:b/>
                <w:bCs/>
                <w:sz w:val="24"/>
                <w:szCs w:val="24"/>
              </w:rPr>
              <w:t xml:space="preserve"> juillet 2019</w:t>
            </w:r>
          </w:p>
        </w:tc>
        <w:tc>
          <w:tcPr>
            <w:tcW w:w="2977" w:type="dxa"/>
          </w:tcPr>
          <w:p w14:paraId="38A99218" w14:textId="785D9DA0" w:rsidR="007934D5" w:rsidRPr="00850990" w:rsidRDefault="007934D5" w:rsidP="007B12D2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</w:t>
            </w:r>
            <w:r w:rsidRPr="00850990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850990">
              <w:rPr>
                <w:b/>
                <w:bCs/>
                <w:sz w:val="24"/>
                <w:szCs w:val="24"/>
              </w:rPr>
              <w:t xml:space="preserve"> juillet 2019</w:t>
            </w:r>
          </w:p>
        </w:tc>
        <w:tc>
          <w:tcPr>
            <w:tcW w:w="2551" w:type="dxa"/>
          </w:tcPr>
          <w:p w14:paraId="5C567E81" w14:textId="77777777" w:rsidR="007934D5" w:rsidRPr="00850990" w:rsidRDefault="007934D5" w:rsidP="006C76ED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10/07/2019</w:t>
            </w:r>
          </w:p>
        </w:tc>
        <w:tc>
          <w:tcPr>
            <w:tcW w:w="2835" w:type="dxa"/>
          </w:tcPr>
          <w:p w14:paraId="7D400841" w14:textId="77777777" w:rsidR="007934D5" w:rsidRPr="00850990" w:rsidRDefault="007934D5" w:rsidP="007B12D2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10/07/2019</w:t>
            </w:r>
          </w:p>
        </w:tc>
        <w:tc>
          <w:tcPr>
            <w:tcW w:w="2977" w:type="dxa"/>
          </w:tcPr>
          <w:p w14:paraId="6973153F" w14:textId="4E9C0468" w:rsidR="007934D5" w:rsidRPr="00850990" w:rsidRDefault="00AC061F" w:rsidP="007B12D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="00DB1A25"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5A145C02" w14:textId="7F03063F" w:rsidTr="00601EAA">
        <w:trPr>
          <w:trHeight w:val="284"/>
        </w:trPr>
        <w:tc>
          <w:tcPr>
            <w:tcW w:w="1560" w:type="dxa"/>
            <w:vAlign w:val="center"/>
          </w:tcPr>
          <w:p w14:paraId="68CA87BD" w14:textId="77777777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3LFE MFB</w:t>
            </w:r>
          </w:p>
        </w:tc>
        <w:tc>
          <w:tcPr>
            <w:tcW w:w="2835" w:type="dxa"/>
          </w:tcPr>
          <w:p w14:paraId="3CC647E9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</w:t>
            </w:r>
            <w:r w:rsidRPr="00850990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850990">
              <w:rPr>
                <w:b/>
                <w:bCs/>
                <w:sz w:val="24"/>
                <w:szCs w:val="24"/>
              </w:rPr>
              <w:t xml:space="preserve"> juillet 2019</w:t>
            </w:r>
          </w:p>
        </w:tc>
        <w:tc>
          <w:tcPr>
            <w:tcW w:w="2977" w:type="dxa"/>
          </w:tcPr>
          <w:p w14:paraId="1DC17EDA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</w:t>
            </w:r>
            <w:r w:rsidRPr="00850990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850990">
              <w:rPr>
                <w:b/>
                <w:bCs/>
                <w:sz w:val="24"/>
                <w:szCs w:val="24"/>
              </w:rPr>
              <w:t xml:space="preserve"> juillet 2019</w:t>
            </w:r>
          </w:p>
        </w:tc>
        <w:tc>
          <w:tcPr>
            <w:tcW w:w="2551" w:type="dxa"/>
          </w:tcPr>
          <w:p w14:paraId="232C366E" w14:textId="0C14A639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7230ED81" w14:textId="0794D5A1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13A276" w14:textId="03D0F5EE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7E58387E" w14:textId="364C6135" w:rsidTr="00601EAA">
        <w:trPr>
          <w:trHeight w:val="284"/>
        </w:trPr>
        <w:tc>
          <w:tcPr>
            <w:tcW w:w="1560" w:type="dxa"/>
            <w:vAlign w:val="center"/>
          </w:tcPr>
          <w:p w14:paraId="5A1A932A" w14:textId="77777777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3LFG-MK</w:t>
            </w:r>
          </w:p>
        </w:tc>
        <w:tc>
          <w:tcPr>
            <w:tcW w:w="2835" w:type="dxa"/>
          </w:tcPr>
          <w:p w14:paraId="488C9550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10/07/2019</w:t>
            </w:r>
          </w:p>
        </w:tc>
        <w:tc>
          <w:tcPr>
            <w:tcW w:w="2977" w:type="dxa"/>
          </w:tcPr>
          <w:p w14:paraId="5448FCD9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10/07/2019</w:t>
            </w:r>
          </w:p>
        </w:tc>
        <w:tc>
          <w:tcPr>
            <w:tcW w:w="2551" w:type="dxa"/>
          </w:tcPr>
          <w:p w14:paraId="0F18E20F" w14:textId="0F397D6D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auto"/>
          </w:tcPr>
          <w:p w14:paraId="48A50907" w14:textId="43FE972E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977" w:type="dxa"/>
          </w:tcPr>
          <w:p w14:paraId="2B3A0E04" w14:textId="0C9C0B4E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0BDB17B8" w14:textId="6D38682C" w:rsidTr="009A43BD">
        <w:trPr>
          <w:trHeight w:val="284"/>
        </w:trPr>
        <w:tc>
          <w:tcPr>
            <w:tcW w:w="1560" w:type="dxa"/>
            <w:vAlign w:val="center"/>
          </w:tcPr>
          <w:p w14:paraId="165FF813" w14:textId="4AFEFB5F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1LFG</w:t>
            </w:r>
          </w:p>
        </w:tc>
        <w:tc>
          <w:tcPr>
            <w:tcW w:w="2835" w:type="dxa"/>
          </w:tcPr>
          <w:p w14:paraId="7ABCAFEA" w14:textId="7071D002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 16/07/2019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3B59AFF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07ED32" w14:textId="194C8219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02378B9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28014D15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01EAA" w14:paraId="51B3DE4E" w14:textId="54F6E416" w:rsidTr="009A43BD">
        <w:trPr>
          <w:trHeight w:val="284"/>
        </w:trPr>
        <w:tc>
          <w:tcPr>
            <w:tcW w:w="1560" w:type="dxa"/>
            <w:vAlign w:val="center"/>
          </w:tcPr>
          <w:p w14:paraId="4CD2BBC6" w14:textId="43339BE3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2LFG</w:t>
            </w:r>
          </w:p>
        </w:tc>
        <w:tc>
          <w:tcPr>
            <w:tcW w:w="2835" w:type="dxa"/>
          </w:tcPr>
          <w:p w14:paraId="4B7A72E5" w14:textId="63E999DE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16/07/2019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3969E79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4A5549" w14:textId="58E8EECC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2B69661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1E990872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01EAA" w14:paraId="02AA3A87" w14:textId="6FE5B8D4" w:rsidTr="009A43BD">
        <w:trPr>
          <w:trHeight w:val="284"/>
        </w:trPr>
        <w:tc>
          <w:tcPr>
            <w:tcW w:w="1560" w:type="dxa"/>
            <w:vAlign w:val="center"/>
          </w:tcPr>
          <w:p w14:paraId="3EF44163" w14:textId="3D49DD64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1LFE</w:t>
            </w:r>
          </w:p>
        </w:tc>
        <w:tc>
          <w:tcPr>
            <w:tcW w:w="2835" w:type="dxa"/>
          </w:tcPr>
          <w:p w14:paraId="3B7D4FF4" w14:textId="27DB3CEE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17/07/2019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51710713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295005" w14:textId="335D442B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3EFD423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5AF09ECA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01EAA" w14:paraId="29D5787F" w14:textId="5C089C4C" w:rsidTr="00601EAA">
        <w:trPr>
          <w:trHeight w:val="284"/>
        </w:trPr>
        <w:tc>
          <w:tcPr>
            <w:tcW w:w="1560" w:type="dxa"/>
            <w:vAlign w:val="center"/>
          </w:tcPr>
          <w:p w14:paraId="06297917" w14:textId="15E76B51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 LFG-</w:t>
            </w:r>
            <w:proofErr w:type="spellStart"/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Compt</w:t>
            </w:r>
            <w:proofErr w:type="spellEnd"/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0171644" w14:textId="6AB156CC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29/07/2019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10BDD6F1" w14:textId="305BB0D8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5DEBA3C8" w14:textId="5345FD6F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3F71B0C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61058C" w14:textId="23F945FF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25D9FFFC" w14:textId="121EA1F5" w:rsidTr="009A43BD">
        <w:trPr>
          <w:trHeight w:val="284"/>
        </w:trPr>
        <w:tc>
          <w:tcPr>
            <w:tcW w:w="1560" w:type="dxa"/>
            <w:vAlign w:val="center"/>
          </w:tcPr>
          <w:p w14:paraId="55475E00" w14:textId="59CB5C13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 LAE-TFA</w:t>
            </w:r>
          </w:p>
        </w:tc>
        <w:tc>
          <w:tcPr>
            <w:tcW w:w="2835" w:type="dxa"/>
          </w:tcPr>
          <w:p w14:paraId="2DEE0922" w14:textId="4FE0F0EF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30/07/2019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1FE11CBE" w14:textId="28D2370B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30/07/2019</w:t>
            </w:r>
          </w:p>
        </w:tc>
        <w:tc>
          <w:tcPr>
            <w:tcW w:w="2551" w:type="dxa"/>
            <w:shd w:val="clear" w:color="auto" w:fill="FFFFFF" w:themeFill="background1"/>
          </w:tcPr>
          <w:p w14:paraId="1A187221" w14:textId="51DA5002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30/07/2019</w:t>
            </w:r>
          </w:p>
        </w:tc>
        <w:tc>
          <w:tcPr>
            <w:tcW w:w="2835" w:type="dxa"/>
            <w:shd w:val="clear" w:color="auto" w:fill="FFFFFF" w:themeFill="background1"/>
          </w:tcPr>
          <w:p w14:paraId="36DF0BF1" w14:textId="3F3C2EA0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30/07/2019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3C37DC2B" w14:textId="0C623D50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31/07/2019</w:t>
            </w:r>
          </w:p>
        </w:tc>
      </w:tr>
      <w:tr w:rsidR="00601EAA" w14:paraId="0DA53480" w14:textId="77777777" w:rsidTr="00601EAA">
        <w:trPr>
          <w:trHeight w:val="284"/>
        </w:trPr>
        <w:tc>
          <w:tcPr>
            <w:tcW w:w="1560" w:type="dxa"/>
            <w:vAlign w:val="center"/>
          </w:tcPr>
          <w:p w14:paraId="69F9E5ED" w14:textId="2038B5EC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 LFG-Fin</w:t>
            </w:r>
          </w:p>
        </w:tc>
        <w:tc>
          <w:tcPr>
            <w:tcW w:w="2835" w:type="dxa"/>
          </w:tcPr>
          <w:p w14:paraId="32F6984E" w14:textId="4A83D4CB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31/07/2019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393DAEB2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63ABA6" w14:textId="7AFE9326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0BCAFA3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AAB9C4" w14:textId="45C3FC3C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9A43BD">
              <w:rPr>
                <w:b/>
                <w:bCs/>
                <w:color w:val="548DD4" w:themeColor="text2" w:themeTint="99"/>
                <w:sz w:val="24"/>
                <w:szCs w:val="24"/>
              </w:rPr>
              <w:t>A partir du 14/08/2019</w:t>
            </w:r>
          </w:p>
        </w:tc>
      </w:tr>
      <w:tr w:rsidR="00601EAA" w14:paraId="34D79D13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1ACDC49D" w14:textId="79F6E7D6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 LAE-RCI</w:t>
            </w:r>
          </w:p>
        </w:tc>
        <w:tc>
          <w:tcPr>
            <w:tcW w:w="2835" w:type="dxa"/>
          </w:tcPr>
          <w:p w14:paraId="62FC8B82" w14:textId="575CBC1C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06/08/2019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0D80D737" w14:textId="2B183EC1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06/08/2019</w:t>
            </w:r>
          </w:p>
        </w:tc>
        <w:tc>
          <w:tcPr>
            <w:tcW w:w="2551" w:type="dxa"/>
            <w:shd w:val="clear" w:color="auto" w:fill="FFFFFF" w:themeFill="background1"/>
          </w:tcPr>
          <w:p w14:paraId="22CD1C6B" w14:textId="154F1C2A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06/08/2019</w:t>
            </w:r>
          </w:p>
        </w:tc>
        <w:tc>
          <w:tcPr>
            <w:tcW w:w="2835" w:type="dxa"/>
            <w:shd w:val="clear" w:color="auto" w:fill="FFFFFF" w:themeFill="background1"/>
          </w:tcPr>
          <w:p w14:paraId="31C7FAA1" w14:textId="16F82FD5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 w:rsidRPr="00850990">
              <w:rPr>
                <w:b/>
                <w:bCs/>
                <w:sz w:val="24"/>
                <w:szCs w:val="24"/>
              </w:rPr>
              <w:t>A partir du 06/08/2019</w:t>
            </w:r>
          </w:p>
        </w:tc>
        <w:tc>
          <w:tcPr>
            <w:tcW w:w="2977" w:type="dxa"/>
            <w:shd w:val="clear" w:color="auto" w:fill="FFFFFF" w:themeFill="background1"/>
          </w:tcPr>
          <w:p w14:paraId="5FE6D072" w14:textId="16639A20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2E00801C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06136698" w14:textId="6C39F8E6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 MR IEEA</w:t>
            </w:r>
          </w:p>
        </w:tc>
        <w:tc>
          <w:tcPr>
            <w:tcW w:w="2835" w:type="dxa"/>
          </w:tcPr>
          <w:p w14:paraId="31539B94" w14:textId="2894ABC0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F8445BE" w14:textId="5AC86D5A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0748714" w14:textId="6DD13046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16EEA3F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71D66E1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5BA905B1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4F0A274B" w14:textId="11635029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1MR MOFID</w:t>
            </w:r>
          </w:p>
        </w:tc>
        <w:tc>
          <w:tcPr>
            <w:tcW w:w="2835" w:type="dxa"/>
          </w:tcPr>
          <w:p w14:paraId="53924049" w14:textId="5704E53B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CB91AC5" w14:textId="5618063D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444C0C5" w14:textId="69C06965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CA43129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1FEEBCD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1758C8B4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335B727C" w14:textId="266E1DA3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1MR MSC</w:t>
            </w:r>
          </w:p>
        </w:tc>
        <w:tc>
          <w:tcPr>
            <w:tcW w:w="2835" w:type="dxa"/>
          </w:tcPr>
          <w:p w14:paraId="5643BBBD" w14:textId="17D99A96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62071" w14:textId="72B42541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79786A3" w14:textId="0EFF84BB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14F128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D74727C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362EEAC0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29843CD8" w14:textId="0559AF3D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1MP IACI</w:t>
            </w:r>
          </w:p>
        </w:tc>
        <w:tc>
          <w:tcPr>
            <w:tcW w:w="2835" w:type="dxa"/>
          </w:tcPr>
          <w:p w14:paraId="511EFD6A" w14:textId="55AFF6F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CECA845" w14:textId="04061951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E0033F7" w14:textId="0E24B781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8D6367D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CF53640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4086A4EB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33CEBB5F" w14:textId="51A9C1DC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1MP STCF</w:t>
            </w:r>
          </w:p>
        </w:tc>
        <w:tc>
          <w:tcPr>
            <w:tcW w:w="2835" w:type="dxa"/>
          </w:tcPr>
          <w:p w14:paraId="1CF6EE5A" w14:textId="299D1B85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822A712" w14:textId="7905DEB6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70361A" w14:textId="6CDB66FE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FD8781D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E849CF7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30A934D4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59C71150" w14:textId="0D5DC58A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1MPFB</w:t>
            </w:r>
          </w:p>
        </w:tc>
        <w:tc>
          <w:tcPr>
            <w:tcW w:w="2835" w:type="dxa"/>
          </w:tcPr>
          <w:p w14:paraId="44F01D74" w14:textId="29ED555B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AA6BA7D" w14:textId="713DE559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4D34F5" w14:textId="1A79A96A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1F59C42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6785030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7EB13452" w14:textId="77777777" w:rsidTr="00601EAA">
        <w:trPr>
          <w:trHeight w:val="284"/>
        </w:trPr>
        <w:tc>
          <w:tcPr>
            <w:tcW w:w="1560" w:type="dxa"/>
            <w:vAlign w:val="center"/>
          </w:tcPr>
          <w:p w14:paraId="2917EB57" w14:textId="5ED3C684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3LFE EQ</w:t>
            </w:r>
          </w:p>
        </w:tc>
        <w:tc>
          <w:tcPr>
            <w:tcW w:w="2835" w:type="dxa"/>
          </w:tcPr>
          <w:p w14:paraId="15AC29CC" w14:textId="2BB8E8F9" w:rsidR="00601EAA" w:rsidRPr="00850990" w:rsidRDefault="00601EAA" w:rsidP="00601EAA">
            <w:pPr>
              <w:jc w:val="left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08CC2BA3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B2CC5B" w14:textId="2FFD3743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556851E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33DA35E" w14:textId="67738FCA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7E81BFE4" w14:textId="77777777" w:rsidTr="00601EAA">
        <w:trPr>
          <w:trHeight w:val="284"/>
        </w:trPr>
        <w:tc>
          <w:tcPr>
            <w:tcW w:w="1560" w:type="dxa"/>
            <w:vAlign w:val="center"/>
          </w:tcPr>
          <w:p w14:paraId="556FFA02" w14:textId="58291058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3LFE EMI</w:t>
            </w:r>
          </w:p>
        </w:tc>
        <w:tc>
          <w:tcPr>
            <w:tcW w:w="2835" w:type="dxa"/>
          </w:tcPr>
          <w:p w14:paraId="43D70F45" w14:textId="6B1EF546" w:rsidR="00601EAA" w:rsidRPr="00850990" w:rsidRDefault="00601EAA" w:rsidP="00601EAA">
            <w:pPr>
              <w:jc w:val="left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A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C719D2A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A71898" w14:textId="36BAD54A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E674BDF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BD67CE2" w14:textId="06FACC80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A partir du 09</w:t>
            </w:r>
            <w:r w:rsidRPr="00850990">
              <w:rPr>
                <w:b/>
                <w:bCs/>
                <w:color w:val="1F497D" w:themeColor="text2"/>
                <w:sz w:val="24"/>
                <w:szCs w:val="24"/>
              </w:rPr>
              <w:t>/08/2019</w:t>
            </w:r>
          </w:p>
        </w:tc>
      </w:tr>
      <w:tr w:rsidR="00601EAA" w14:paraId="591866BC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023E2555" w14:textId="3A64E74C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1LAE</w:t>
            </w:r>
          </w:p>
        </w:tc>
        <w:tc>
          <w:tcPr>
            <w:tcW w:w="2835" w:type="dxa"/>
          </w:tcPr>
          <w:p w14:paraId="252ADDE9" w14:textId="7CC94CC0" w:rsidR="00601EAA" w:rsidRPr="00601EAA" w:rsidRDefault="00601EAA" w:rsidP="00601EA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01EAA">
              <w:rPr>
                <w:b/>
                <w:bCs/>
                <w:color w:val="00B050"/>
                <w:sz w:val="24"/>
                <w:szCs w:val="24"/>
              </w:rPr>
              <w:t>A partir du 16/08/2019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88FF7AE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61DBC5B" w14:textId="2EE1EE8F" w:rsidR="00601EAA" w:rsidRPr="00601EAA" w:rsidRDefault="00601EAA" w:rsidP="00601EA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01EAA">
              <w:rPr>
                <w:b/>
                <w:bCs/>
                <w:color w:val="00B050"/>
                <w:sz w:val="24"/>
                <w:szCs w:val="24"/>
              </w:rPr>
              <w:t>A partir du 16/08/2019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DCFC97E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771F032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0E7BE5D4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353BBAB5" w14:textId="4C0A1498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2LAE RCI</w:t>
            </w:r>
          </w:p>
        </w:tc>
        <w:tc>
          <w:tcPr>
            <w:tcW w:w="2835" w:type="dxa"/>
          </w:tcPr>
          <w:p w14:paraId="4F7676B0" w14:textId="38EE7A79" w:rsidR="00601EAA" w:rsidRPr="00601EAA" w:rsidRDefault="00601EAA" w:rsidP="00601EA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01EAA">
              <w:rPr>
                <w:b/>
                <w:bCs/>
                <w:color w:val="00B050"/>
                <w:sz w:val="24"/>
                <w:szCs w:val="24"/>
              </w:rPr>
              <w:t>A partir du 16/08/2019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EB41BFA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EA1F7B9" w14:textId="2C89AD9B" w:rsidR="00601EAA" w:rsidRPr="00601EAA" w:rsidRDefault="00601EAA" w:rsidP="00601EA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01EAA">
              <w:rPr>
                <w:b/>
                <w:bCs/>
                <w:color w:val="00B050"/>
                <w:sz w:val="24"/>
                <w:szCs w:val="24"/>
              </w:rPr>
              <w:t>A partir du 16/08/2019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6A94D00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7FBB5D7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40DFD2C1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59B42208" w14:textId="39C4D7B9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2LAE TFA</w:t>
            </w:r>
          </w:p>
        </w:tc>
        <w:tc>
          <w:tcPr>
            <w:tcW w:w="2835" w:type="dxa"/>
          </w:tcPr>
          <w:p w14:paraId="6E8A8098" w14:textId="6081ACB1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2743271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BFF031" w14:textId="38D5DBFD" w:rsidR="00601EAA" w:rsidRPr="00601EAA" w:rsidRDefault="00601EAA" w:rsidP="00601EA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01EAA">
              <w:rPr>
                <w:b/>
                <w:bCs/>
                <w:color w:val="00B050"/>
                <w:sz w:val="24"/>
                <w:szCs w:val="24"/>
              </w:rPr>
              <w:t>A partir du 16/08/2019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46E6B28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B11B1D4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535C8237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71A52CCD" w14:textId="227B0691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2LFE MFB</w:t>
            </w:r>
          </w:p>
        </w:tc>
        <w:tc>
          <w:tcPr>
            <w:tcW w:w="2835" w:type="dxa"/>
          </w:tcPr>
          <w:p w14:paraId="68B4B4D3" w14:textId="69CAEF2B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789E255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FBCD55B" w14:textId="7110EAD3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A51F547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53B69F5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5FAA6C75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4B78581B" w14:textId="0475680E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2LFE EMI</w:t>
            </w:r>
          </w:p>
        </w:tc>
        <w:tc>
          <w:tcPr>
            <w:tcW w:w="2835" w:type="dxa"/>
          </w:tcPr>
          <w:p w14:paraId="62D8E6A3" w14:textId="294641E7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614EB75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B99C517" w14:textId="310D97B7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52AD82D" w14:textId="77777777" w:rsidR="00601EAA" w:rsidRPr="00850990" w:rsidRDefault="00601EAA" w:rsidP="00601EA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7B40180" w14:textId="77777777" w:rsidR="00601EAA" w:rsidRPr="00850990" w:rsidRDefault="00601EAA" w:rsidP="00601EAA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EAA" w14:paraId="6269051C" w14:textId="77777777" w:rsidTr="009A43BD">
        <w:trPr>
          <w:trHeight w:val="284"/>
        </w:trPr>
        <w:tc>
          <w:tcPr>
            <w:tcW w:w="1560" w:type="dxa"/>
            <w:vAlign w:val="center"/>
          </w:tcPr>
          <w:p w14:paraId="70FCC672" w14:textId="367ADA6B" w:rsidR="00601EAA" w:rsidRPr="007B12D2" w:rsidRDefault="00601EAA" w:rsidP="00601EAA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2D2">
              <w:rPr>
                <w:rFonts w:ascii="Calibri" w:hAnsi="Calibri" w:cs="Calibri"/>
                <w:b/>
                <w:bCs/>
                <w:sz w:val="24"/>
                <w:szCs w:val="24"/>
              </w:rPr>
              <w:t>2LFE EQ</w:t>
            </w:r>
          </w:p>
        </w:tc>
        <w:tc>
          <w:tcPr>
            <w:tcW w:w="2835" w:type="dxa"/>
          </w:tcPr>
          <w:p w14:paraId="2C55EA24" w14:textId="075B095F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704421D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6946F8" w14:textId="71821E9F" w:rsidR="00601EAA" w:rsidRPr="00850990" w:rsidRDefault="00601EAA" w:rsidP="00601EAA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601EAA">
              <w:rPr>
                <w:b/>
                <w:bCs/>
                <w:color w:val="5F497A" w:themeColor="accent4" w:themeShade="BF"/>
                <w:sz w:val="24"/>
                <w:szCs w:val="24"/>
              </w:rPr>
              <w:t>A partir du 15/08/2019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6D4A2C9" w14:textId="77777777" w:rsidR="00601EAA" w:rsidRPr="00850990" w:rsidRDefault="00601EAA" w:rsidP="00601E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675DB40" w14:textId="77777777" w:rsidR="00601EAA" w:rsidRPr="00850990" w:rsidRDefault="00601EAA" w:rsidP="00601E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97C29A5" w14:textId="090A0E52" w:rsidR="006C76ED" w:rsidRPr="00BC4D0B" w:rsidRDefault="007934D5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  <w:r w:rsidRPr="00BC4D0B">
        <w:rPr>
          <w:b/>
          <w:bCs/>
          <w:color w:val="FF0000"/>
          <w:sz w:val="28"/>
          <w:szCs w:val="28"/>
        </w:rPr>
        <w:t xml:space="preserve">(*) Avant de se déplacer à la FSEG-Sousse, Consulter l’avis relatif à la délivrance des diplômes publié sur le site web de la </w:t>
      </w:r>
      <w:r w:rsidR="00AC061F" w:rsidRPr="00BC4D0B">
        <w:rPr>
          <w:b/>
          <w:bCs/>
          <w:color w:val="FF0000"/>
          <w:sz w:val="28"/>
          <w:szCs w:val="28"/>
        </w:rPr>
        <w:t>Faculté (</w:t>
      </w:r>
      <w:r w:rsidR="00CE30B5" w:rsidRPr="00BC4D0B">
        <w:rPr>
          <w:b/>
          <w:bCs/>
          <w:color w:val="FF0000"/>
          <w:sz w:val="28"/>
          <w:szCs w:val="28"/>
          <w:highlight w:val="yellow"/>
        </w:rPr>
        <w:t>un dossier à préparer</w:t>
      </w:r>
      <w:r w:rsidR="00971FB6" w:rsidRPr="00BC4D0B">
        <w:rPr>
          <w:b/>
          <w:bCs/>
          <w:color w:val="FF0000"/>
          <w:sz w:val="28"/>
          <w:szCs w:val="28"/>
        </w:rPr>
        <w:t xml:space="preserve"> pour le présenter </w:t>
      </w:r>
      <w:r w:rsidR="00971FB6" w:rsidRPr="00BC4D0B">
        <w:rPr>
          <w:b/>
          <w:bCs/>
          <w:color w:val="FF0000"/>
          <w:sz w:val="28"/>
          <w:szCs w:val="28"/>
          <w:u w:val="single"/>
        </w:rPr>
        <w:t xml:space="preserve">le jour </w:t>
      </w:r>
      <w:r w:rsidR="00AC061F" w:rsidRPr="00BC4D0B">
        <w:rPr>
          <w:b/>
          <w:bCs/>
          <w:color w:val="FF0000"/>
          <w:sz w:val="28"/>
          <w:szCs w:val="28"/>
          <w:u w:val="single"/>
        </w:rPr>
        <w:t>où</w:t>
      </w:r>
      <w:r w:rsidR="00971FB6" w:rsidRPr="00BC4D0B">
        <w:rPr>
          <w:b/>
          <w:bCs/>
          <w:color w:val="FF0000"/>
          <w:sz w:val="28"/>
          <w:szCs w:val="28"/>
          <w:u w:val="single"/>
        </w:rPr>
        <w:t xml:space="preserve"> vous contactez le Guichet pour le retrait du diplôme</w:t>
      </w:r>
      <w:r w:rsidR="00CE30B5" w:rsidRPr="00BC4D0B">
        <w:rPr>
          <w:b/>
          <w:bCs/>
          <w:color w:val="FF0000"/>
          <w:sz w:val="28"/>
          <w:szCs w:val="28"/>
        </w:rPr>
        <w:t>)</w:t>
      </w:r>
    </w:p>
    <w:p w14:paraId="4722CD2D" w14:textId="29D3C5AB" w:rsidR="00CE30B5" w:rsidRPr="00BC4D0B" w:rsidRDefault="00CE30B5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  <w:r w:rsidRPr="00BC4D0B">
        <w:rPr>
          <w:b/>
          <w:bCs/>
          <w:color w:val="FF0000"/>
          <w:sz w:val="28"/>
          <w:szCs w:val="28"/>
        </w:rPr>
        <w:t xml:space="preserve">Les étudiants qui </w:t>
      </w:r>
      <w:r w:rsidR="00AC061F" w:rsidRPr="00BC4D0B">
        <w:rPr>
          <w:b/>
          <w:bCs/>
          <w:color w:val="FF0000"/>
          <w:sz w:val="28"/>
          <w:szCs w:val="28"/>
        </w:rPr>
        <w:t>ne se</w:t>
      </w:r>
      <w:r w:rsidRPr="00BC4D0B">
        <w:rPr>
          <w:b/>
          <w:bCs/>
          <w:color w:val="FF0000"/>
          <w:sz w:val="28"/>
          <w:szCs w:val="28"/>
        </w:rPr>
        <w:t xml:space="preserve"> sont pas acquittés des documents empruntés </w:t>
      </w:r>
      <w:r w:rsidR="00AC061F" w:rsidRPr="00BC4D0B">
        <w:rPr>
          <w:b/>
          <w:bCs/>
          <w:color w:val="FF0000"/>
          <w:sz w:val="28"/>
          <w:szCs w:val="28"/>
        </w:rPr>
        <w:t>de la bibliothèque doivent</w:t>
      </w:r>
      <w:r w:rsidRPr="00BC4D0B">
        <w:rPr>
          <w:b/>
          <w:bCs/>
          <w:color w:val="FF0000"/>
          <w:sz w:val="28"/>
          <w:szCs w:val="28"/>
        </w:rPr>
        <w:t xml:space="preserve"> présenter au guichet </w:t>
      </w:r>
      <w:r w:rsidR="00BD10D1" w:rsidRPr="00BC4D0B">
        <w:rPr>
          <w:b/>
          <w:bCs/>
          <w:color w:val="FF0000"/>
          <w:sz w:val="28"/>
          <w:szCs w:val="28"/>
        </w:rPr>
        <w:t xml:space="preserve">de </w:t>
      </w:r>
      <w:r w:rsidR="00AC061F" w:rsidRPr="00BC4D0B">
        <w:rPr>
          <w:b/>
          <w:bCs/>
          <w:color w:val="FF0000"/>
          <w:sz w:val="28"/>
          <w:szCs w:val="28"/>
        </w:rPr>
        <w:t>scolarité une</w:t>
      </w:r>
      <w:r w:rsidRPr="00BC4D0B">
        <w:rPr>
          <w:b/>
          <w:bCs/>
          <w:color w:val="FF0000"/>
          <w:sz w:val="28"/>
          <w:szCs w:val="28"/>
        </w:rPr>
        <w:t xml:space="preserve"> attestation de </w:t>
      </w:r>
      <w:r w:rsidR="00AC061F" w:rsidRPr="00BC4D0B">
        <w:rPr>
          <w:b/>
          <w:bCs/>
          <w:color w:val="FF0000"/>
          <w:sz w:val="28"/>
          <w:szCs w:val="28"/>
        </w:rPr>
        <w:t>décharge pour retirer</w:t>
      </w:r>
      <w:r w:rsidRPr="00BC4D0B">
        <w:rPr>
          <w:b/>
          <w:bCs/>
          <w:color w:val="FF0000"/>
          <w:sz w:val="28"/>
          <w:szCs w:val="28"/>
        </w:rPr>
        <w:t xml:space="preserve"> </w:t>
      </w:r>
      <w:r w:rsidR="00AC061F" w:rsidRPr="00BC4D0B">
        <w:rPr>
          <w:b/>
          <w:bCs/>
          <w:color w:val="FF0000"/>
          <w:sz w:val="28"/>
          <w:szCs w:val="28"/>
        </w:rPr>
        <w:t>leur diplôme, relevés</w:t>
      </w:r>
      <w:r w:rsidR="00BD10D1" w:rsidRPr="00BC4D0B">
        <w:rPr>
          <w:b/>
          <w:bCs/>
          <w:color w:val="FF0000"/>
          <w:sz w:val="28"/>
          <w:szCs w:val="28"/>
        </w:rPr>
        <w:t xml:space="preserve"> des </w:t>
      </w:r>
      <w:r w:rsidR="00AC061F" w:rsidRPr="00BC4D0B">
        <w:rPr>
          <w:b/>
          <w:bCs/>
          <w:color w:val="FF0000"/>
          <w:sz w:val="28"/>
          <w:szCs w:val="28"/>
        </w:rPr>
        <w:t>notes et</w:t>
      </w:r>
      <w:r w:rsidRPr="00BC4D0B">
        <w:rPr>
          <w:b/>
          <w:bCs/>
          <w:color w:val="FF0000"/>
          <w:sz w:val="28"/>
          <w:szCs w:val="28"/>
        </w:rPr>
        <w:t xml:space="preserve"> leur </w:t>
      </w:r>
      <w:r w:rsidR="00AC061F" w:rsidRPr="00BC4D0B">
        <w:rPr>
          <w:b/>
          <w:bCs/>
          <w:color w:val="FF0000"/>
          <w:sz w:val="28"/>
          <w:szCs w:val="28"/>
        </w:rPr>
        <w:t>attestation de</w:t>
      </w:r>
      <w:r w:rsidRPr="00BC4D0B">
        <w:rPr>
          <w:b/>
          <w:bCs/>
          <w:color w:val="FF0000"/>
          <w:sz w:val="28"/>
          <w:szCs w:val="28"/>
        </w:rPr>
        <w:t xml:space="preserve"> </w:t>
      </w:r>
      <w:r w:rsidR="00AC061F" w:rsidRPr="00BC4D0B">
        <w:rPr>
          <w:b/>
          <w:bCs/>
          <w:color w:val="FF0000"/>
          <w:sz w:val="28"/>
          <w:szCs w:val="28"/>
        </w:rPr>
        <w:t>réussite.</w:t>
      </w:r>
    </w:p>
    <w:sectPr w:rsidR="00CE30B5" w:rsidRPr="00BC4D0B" w:rsidSect="007B12D2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AEE"/>
    <w:multiLevelType w:val="hybridMultilevel"/>
    <w:tmpl w:val="2FA6427A"/>
    <w:lvl w:ilvl="0" w:tplc="1604FFC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ar-SA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D"/>
    <w:rsid w:val="000F1D88"/>
    <w:rsid w:val="00156A8B"/>
    <w:rsid w:val="00266D1D"/>
    <w:rsid w:val="00272ABE"/>
    <w:rsid w:val="003675BA"/>
    <w:rsid w:val="003B0ECA"/>
    <w:rsid w:val="003F2ECA"/>
    <w:rsid w:val="005E0C12"/>
    <w:rsid w:val="00601EAA"/>
    <w:rsid w:val="00624AAA"/>
    <w:rsid w:val="006870B9"/>
    <w:rsid w:val="006C30D8"/>
    <w:rsid w:val="006C76ED"/>
    <w:rsid w:val="00716FE1"/>
    <w:rsid w:val="007934D5"/>
    <w:rsid w:val="007B12D2"/>
    <w:rsid w:val="00850990"/>
    <w:rsid w:val="009152B1"/>
    <w:rsid w:val="0094171E"/>
    <w:rsid w:val="00943B9C"/>
    <w:rsid w:val="00971FB6"/>
    <w:rsid w:val="00990137"/>
    <w:rsid w:val="009A43BD"/>
    <w:rsid w:val="009B1FC0"/>
    <w:rsid w:val="00AC061F"/>
    <w:rsid w:val="00BC4A81"/>
    <w:rsid w:val="00BC4D0B"/>
    <w:rsid w:val="00BD10D1"/>
    <w:rsid w:val="00C93B1D"/>
    <w:rsid w:val="00CE30B5"/>
    <w:rsid w:val="00DB1A25"/>
    <w:rsid w:val="00DE4D50"/>
    <w:rsid w:val="00E13CAF"/>
    <w:rsid w:val="00E66694"/>
    <w:rsid w:val="00E8780F"/>
    <w:rsid w:val="00F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57DE"/>
  <w15:chartTrackingRefBased/>
  <w15:docId w15:val="{D55D849F-517D-4804-8948-E38D1F6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FOUED ROMDHANE</dc:creator>
  <cp:keywords/>
  <dc:description/>
  <cp:lastModifiedBy>PCS</cp:lastModifiedBy>
  <cp:revision>2</cp:revision>
  <cp:lastPrinted>2019-08-14T08:03:00Z</cp:lastPrinted>
  <dcterms:created xsi:type="dcterms:W3CDTF">2019-08-16T07:26:00Z</dcterms:created>
  <dcterms:modified xsi:type="dcterms:W3CDTF">2019-08-16T07:26:00Z</dcterms:modified>
</cp:coreProperties>
</file>