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E8" w:rsidRDefault="00F37AE8" w:rsidP="00F37AE8">
      <w:pPr>
        <w:rPr>
          <w:rFonts w:ascii="Times New Roman" w:hAnsi="Times New Roman" w:cs="Times New Roman"/>
          <w:b/>
          <w:sz w:val="26"/>
          <w:szCs w:val="26"/>
        </w:rPr>
      </w:pPr>
      <w:r w:rsidRPr="00736ED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095233" cy="555955"/>
            <wp:effectExtent l="0" t="0" r="0" b="0"/>
            <wp:docPr id="6" name="Image 1" descr="http://site.forumeniso.com/wp-content/uploads/2014/01/US-56x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.forumeniso.com/wp-content/uploads/2014/01/US-56x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48" cy="57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675F00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295400" cy="828675"/>
            <wp:effectExtent l="0" t="0" r="0" b="0"/>
            <wp:docPr id="4" name="Image 4" descr="C:\Users\User\Desktop\mofid\fseg-sous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fid\fseg-sous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CF" w:rsidRPr="005C1320" w:rsidRDefault="00F37AE8" w:rsidP="00F37AE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C1320">
        <w:rPr>
          <w:rFonts w:ascii="Times New Roman" w:hAnsi="Times New Roman" w:cs="Times New Roman"/>
          <w:b/>
          <w:color w:val="0070C0"/>
          <w:sz w:val="36"/>
          <w:szCs w:val="36"/>
        </w:rPr>
        <w:t>MO</w:t>
      </w:r>
      <w:r w:rsidR="005C1320" w:rsidRPr="005C1320">
        <w:rPr>
          <w:rFonts w:ascii="Times New Roman" w:hAnsi="Times New Roman" w:cs="Times New Roman"/>
          <w:b/>
          <w:color w:val="0070C0"/>
          <w:sz w:val="36"/>
          <w:szCs w:val="36"/>
        </w:rPr>
        <w:t>FID…….</w:t>
      </w:r>
    </w:p>
    <w:p w:rsidR="00F37AE8" w:rsidRPr="005C1320" w:rsidRDefault="005C1320" w:rsidP="00F37AE8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5C1320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……</w:t>
      </w:r>
      <w:r w:rsidR="00F37AE8" w:rsidRPr="005C1320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Appel à communication </w:t>
      </w:r>
      <w:r w:rsidR="00F37AE8" w:rsidRPr="005C1320">
        <w:rPr>
          <w:rFonts w:ascii="Times New Roman" w:hAnsi="Times New Roman" w:cs="Times New Roman"/>
          <w:b/>
          <w:i/>
          <w:iCs/>
          <w:color w:val="0070C0"/>
          <w:sz w:val="40"/>
          <w:szCs w:val="40"/>
          <w:u w:val="single"/>
        </w:rPr>
        <w:t>(seizième journée)</w:t>
      </w:r>
    </w:p>
    <w:p w:rsidR="00F37AE8" w:rsidRPr="0024149A" w:rsidRDefault="0024149A" w:rsidP="00F37AE8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49A">
        <w:rPr>
          <w:rFonts w:ascii="Times New Roman" w:hAnsi="Times New Roman" w:cs="Times New Roman"/>
          <w:b/>
          <w:sz w:val="32"/>
          <w:szCs w:val="32"/>
        </w:rPr>
        <w:t xml:space="preserve">Crise bancaire – Crise financière – Prévention - Avènement – Résolution – Coût – </w:t>
      </w:r>
      <w:r w:rsidR="001F37CF">
        <w:rPr>
          <w:rFonts w:ascii="Times New Roman" w:hAnsi="Times New Roman" w:cs="Times New Roman"/>
          <w:b/>
          <w:sz w:val="32"/>
          <w:szCs w:val="32"/>
        </w:rPr>
        <w:t>P</w:t>
      </w:r>
      <w:r w:rsidRPr="0024149A">
        <w:rPr>
          <w:rFonts w:ascii="Times New Roman" w:hAnsi="Times New Roman" w:cs="Times New Roman"/>
          <w:b/>
          <w:sz w:val="32"/>
          <w:szCs w:val="32"/>
        </w:rPr>
        <w:t>olitique monétaire en temps de crise.</w:t>
      </w:r>
      <w:r w:rsidR="00F37AE8" w:rsidRPr="002414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7AE8" w:rsidRPr="0024149A" w:rsidRDefault="00F37AE8" w:rsidP="00F37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46E">
        <w:rPr>
          <w:rFonts w:ascii="Times New Roman" w:eastAsia="Times New Roman" w:hAnsi="Times New Roman" w:cs="Times New Roman"/>
          <w:b/>
          <w:sz w:val="28"/>
          <w:szCs w:val="28"/>
        </w:rPr>
        <w:t xml:space="preserve">L’UR Modélisation Financement et Développement </w:t>
      </w:r>
      <w:r w:rsidRPr="0024149A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(MOfid)</w:t>
      </w:r>
      <w:r w:rsidRPr="00A0746E">
        <w:rPr>
          <w:rFonts w:ascii="Times New Roman" w:eastAsia="Times New Roman" w:hAnsi="Times New Roman" w:cs="Times New Roman"/>
          <w:b/>
          <w:sz w:val="28"/>
          <w:szCs w:val="28"/>
        </w:rPr>
        <w:t xml:space="preserve"> et le département d’économie organisent la seizième journée MOFID à la date du samedi </w:t>
      </w:r>
      <w:r w:rsidRPr="001F37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22 mai 2021</w:t>
      </w:r>
      <w:r w:rsidRPr="00A0746E">
        <w:rPr>
          <w:rFonts w:ascii="Times New Roman" w:eastAsia="Times New Roman" w:hAnsi="Times New Roman" w:cs="Times New Roman"/>
          <w:b/>
          <w:sz w:val="28"/>
          <w:szCs w:val="28"/>
        </w:rPr>
        <w:t>. Les chercheurs qui désirent présenter une communication sont invités à envoyer leurs papiers à l’adresse électronique (</w:t>
      </w:r>
      <w:r w:rsidRPr="00ED3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lesamisfseg@gmail.com</w:t>
      </w:r>
      <w:r w:rsidRPr="00A0746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1F37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avant la date du 01 avril 2021.</w:t>
      </w:r>
      <w:r w:rsidRPr="00A0746E">
        <w:rPr>
          <w:rFonts w:ascii="Times New Roman" w:eastAsia="Times New Roman" w:hAnsi="Times New Roman" w:cs="Times New Roman"/>
          <w:b/>
          <w:sz w:val="28"/>
          <w:szCs w:val="28"/>
        </w:rPr>
        <w:t xml:space="preserve">  Une réponse leur sera communiquée le </w:t>
      </w:r>
      <w:r w:rsidRPr="001F37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30 Avril 2021</w:t>
      </w:r>
      <w:r w:rsidRPr="00A0746E"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</w:rPr>
        <w:t xml:space="preserve"> </w:t>
      </w:r>
      <w:r w:rsidRPr="0024149A">
        <w:rPr>
          <w:rFonts w:ascii="Times New Roman" w:eastAsia="Times New Roman" w:hAnsi="Times New Roman" w:cs="Times New Roman"/>
          <w:b/>
          <w:sz w:val="28"/>
          <w:szCs w:val="28"/>
        </w:rPr>
        <w:t>au plus tard.</w:t>
      </w:r>
    </w:p>
    <w:p w:rsidR="00F37AE8" w:rsidRPr="00976FA6" w:rsidRDefault="00F37AE8" w:rsidP="00F37A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976FA6">
        <w:rPr>
          <w:rFonts w:eastAsia="Times New Roman" w:cstheme="minorHAnsi"/>
          <w:b/>
          <w:sz w:val="28"/>
          <w:u w:val="single"/>
        </w:rPr>
        <w:t>Composition du Comité scientifique</w:t>
      </w:r>
    </w:p>
    <w:p w:rsidR="00F37AE8" w:rsidRDefault="00F37AE8" w:rsidP="00F37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0B56" w:rsidRDefault="00690B56" w:rsidP="00BF7FC4">
      <w:pPr>
        <w:tabs>
          <w:tab w:val="left" w:pos="1790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1416050</wp:posOffset>
            </wp:positionV>
            <wp:extent cx="661035" cy="612140"/>
            <wp:effectExtent l="19050" t="0" r="571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éléchargement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FC4" w:rsidRPr="008E3DDC">
        <w:rPr>
          <w:b/>
        </w:rPr>
        <w:t>A. Bouabid (FSEG-Souuse) – A. Gliz (ESC-Alger</w:t>
      </w:r>
      <w:r w:rsidR="001F37CF">
        <w:rPr>
          <w:b/>
        </w:rPr>
        <w:t xml:space="preserve">) </w:t>
      </w:r>
      <w:r w:rsidR="00BF7FC4" w:rsidRPr="008E3DDC">
        <w:rPr>
          <w:b/>
        </w:rPr>
        <w:t>- A. Hachicha (ESC-Sfax) – H. Salah (ESC-Tunis) – F. Sboui (FSEG-Mahdia) – F. Marrakchi Charfi (FSEG-Tunis) – F. Aloulou (FSEG-Sousse) – F. Ben Ameur (FSEG-Tunis) – H. Mehri (FSEG-Tunis) – H. Bouzgarrou (ISFF-Sousse) – I. Hergli (IHEC-Sousse) – Kh. Jebsi (FSEG-Sousse) – L. Bennour (INTES-Carthage)- L. Ben</w:t>
      </w:r>
      <w:r w:rsidR="00BF7FC4">
        <w:rPr>
          <w:b/>
        </w:rPr>
        <w:t xml:space="preserve"> H</w:t>
      </w:r>
      <w:r w:rsidR="00BF7FC4" w:rsidRPr="008E3DDC">
        <w:rPr>
          <w:b/>
        </w:rPr>
        <w:t xml:space="preserve">assen (FSEG-Sfax) - M. Gassab (ESC-Tunis) – M. Ferhi (ESC-Alger) – M. Labidi (FSEG-Mahdia) – M. Touati-Tliba (ESC-Alger) – M. Zmami (ISG-Tunis) – </w:t>
      </w:r>
      <w:r w:rsidR="00BE31E0">
        <w:rPr>
          <w:b/>
        </w:rPr>
        <w:t xml:space="preserve">N. Abaoub (ESC-Tunis) - </w:t>
      </w:r>
      <w:r w:rsidR="00BF7FC4" w:rsidRPr="008E3DDC">
        <w:rPr>
          <w:b/>
        </w:rPr>
        <w:t>S. Maktouf (FSEG-Tunis)- Y. Boujelben (FS</w:t>
      </w:r>
      <w:r w:rsidR="001F37CF">
        <w:rPr>
          <w:b/>
        </w:rPr>
        <w:t>E</w:t>
      </w:r>
      <w:r w:rsidR="00BF7FC4" w:rsidRPr="008E3DDC">
        <w:rPr>
          <w:b/>
        </w:rPr>
        <w:t>G-Sfax) – Z. Ftiti (EDC-Paris</w:t>
      </w:r>
      <w:r w:rsidR="00BF7FC4">
        <w:rPr>
          <w:b/>
        </w:rPr>
        <w:t>)</w:t>
      </w:r>
      <w:r w:rsidR="00BF7FC4" w:rsidRPr="008E3DDC">
        <w:rPr>
          <w:b/>
        </w:rPr>
        <w:t xml:space="preserve">. </w:t>
      </w:r>
    </w:p>
    <w:p w:rsidR="00BF7FC4" w:rsidRPr="00690B56" w:rsidRDefault="00690B56" w:rsidP="00690B56">
      <w:pPr>
        <w:tabs>
          <w:tab w:val="left" w:pos="179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227330</wp:posOffset>
            </wp:positionV>
            <wp:extent cx="723900" cy="71628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éléchargem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976FA6" w:rsidRDefault="00690B56" w:rsidP="00690B56">
      <w:pPr>
        <w:tabs>
          <w:tab w:val="left" w:pos="1790"/>
        </w:tabs>
        <w:rPr>
          <w:rFonts w:cstheme="minorHAnsi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936625</wp:posOffset>
            </wp:positionV>
            <wp:extent cx="690245" cy="459105"/>
            <wp:effectExtent l="1905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ff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4520565</wp:posOffset>
            </wp:positionH>
            <wp:positionV relativeFrom="paragraph">
              <wp:posOffset>1344930</wp:posOffset>
            </wp:positionV>
            <wp:extent cx="741045" cy="353695"/>
            <wp:effectExtent l="19050" t="0" r="1905" b="0"/>
            <wp:wrapSquare wrapText="bothSides"/>
            <wp:docPr id="2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éléchargement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781685</wp:posOffset>
            </wp:positionV>
            <wp:extent cx="975360" cy="409575"/>
            <wp:effectExtent l="19050" t="0" r="0" b="0"/>
            <wp:wrapSquare wrapText="bothSides"/>
            <wp:docPr id="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éléchargeme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B56">
        <w:rPr>
          <w:b/>
          <w:noProof/>
        </w:rPr>
        <w:drawing>
          <wp:inline distT="0" distB="0" distL="0" distR="0">
            <wp:extent cx="776158" cy="782727"/>
            <wp:effectExtent l="0" t="0" r="0" b="0"/>
            <wp:docPr id="10" name="Image 4" descr="École supérieure de commerce de S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cole supérieure de commerce de Sfa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38" cy="103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B56">
        <w:rPr>
          <w:b/>
          <w:noProof/>
        </w:rPr>
        <w:drawing>
          <wp:inline distT="0" distB="0" distL="0" distR="0">
            <wp:extent cx="830722" cy="724205"/>
            <wp:effectExtent l="0" t="0" r="0" b="0"/>
            <wp:docPr id="12" name="Image 1" descr="ESC :: L'école Supérieure de Commerce - Al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 :: L'école Supérieure de Commerce - Alg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20" cy="7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B56">
        <w:rPr>
          <w:b/>
          <w:noProof/>
        </w:rPr>
        <w:drawing>
          <wp:inline distT="0" distB="0" distL="0" distR="0">
            <wp:extent cx="621775" cy="539750"/>
            <wp:effectExtent l="19050" t="0" r="6875" b="0"/>
            <wp:docPr id="18" name="Image 1" descr="FSEG S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EG Sfa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4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B56">
        <w:rPr>
          <w:b/>
          <w:noProof/>
        </w:rPr>
        <w:drawing>
          <wp:inline distT="0" distB="0" distL="0" distR="0">
            <wp:extent cx="697179" cy="494547"/>
            <wp:effectExtent l="19050" t="0" r="7671" b="0"/>
            <wp:docPr id="29" name="Imag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14" cy="4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5E8">
        <w:rPr>
          <w:noProof/>
        </w:rPr>
        <w:t xml:space="preserve">         </w:t>
      </w:r>
      <w:r w:rsidR="00A655E8">
        <w:rPr>
          <w:noProof/>
        </w:rPr>
        <w:drawing>
          <wp:inline distT="0" distB="0" distL="0" distR="0">
            <wp:extent cx="971550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B56"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0669" cy="621792"/>
            <wp:effectExtent l="19050" t="0" r="5131" b="0"/>
            <wp:wrapSquare wrapText="bothSides"/>
            <wp:docPr id="9" name="Image 2" descr="logo_esct_final_sit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sct_final_sitewe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9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24149A" w:rsidRPr="00690B56">
        <w:rPr>
          <w:rFonts w:cstheme="minorHAnsi"/>
          <w:b/>
          <w:sz w:val="24"/>
          <w:szCs w:val="24"/>
          <w:u w:val="single"/>
        </w:rPr>
        <w:t>Comité d’organisation</w:t>
      </w:r>
    </w:p>
    <w:p w:rsidR="0067618B" w:rsidRDefault="0024149A">
      <w:pPr>
        <w:rPr>
          <w:rFonts w:cstheme="minorHAnsi"/>
        </w:rPr>
      </w:pPr>
      <w:r w:rsidRPr="00976FA6">
        <w:rPr>
          <w:rFonts w:cstheme="minorHAnsi"/>
          <w:b/>
          <w:sz w:val="24"/>
          <w:szCs w:val="24"/>
        </w:rPr>
        <w:t xml:space="preserve">Mounir Smida- </w:t>
      </w:r>
      <w:r w:rsidRPr="00976FA6">
        <w:rPr>
          <w:rFonts w:cstheme="minorHAnsi"/>
          <w:sz w:val="24"/>
          <w:szCs w:val="24"/>
        </w:rPr>
        <w:t>Ramzy Farhani – Nesrine Dardouri – Zahra Aroussi.</w:t>
      </w:r>
      <w:r w:rsidR="002A05FB" w:rsidRPr="00976FA6">
        <w:rPr>
          <w:rFonts w:cstheme="minorHAnsi"/>
        </w:rPr>
        <w:t xml:space="preserve"> </w:t>
      </w:r>
    </w:p>
    <w:p w:rsidR="007E69FF" w:rsidRDefault="007E69FF" w:rsidP="007E69FF">
      <w:r>
        <w:t>Pour toute information complémentaire</w:t>
      </w:r>
      <w:r w:rsidR="002347E5">
        <w:t>,</w:t>
      </w:r>
      <w:r>
        <w:t xml:space="preserve"> joindre Mounir Smida à l’e-adresse suivante.</w:t>
      </w:r>
    </w:p>
    <w:p w:rsidR="007E69FF" w:rsidRPr="007E69FF" w:rsidRDefault="007E69FF" w:rsidP="007E69FF">
      <w:pPr>
        <w:rPr>
          <w:u w:val="single"/>
        </w:rPr>
      </w:pPr>
      <w:r w:rsidRPr="007E69FF">
        <w:rPr>
          <w:u w:val="single"/>
        </w:rPr>
        <w:t>mounirsmida2006@gmail.com</w:t>
      </w:r>
    </w:p>
    <w:p w:rsidR="00CD4C9A" w:rsidRPr="00884016" w:rsidRDefault="00CD4C9A" w:rsidP="00CD4C9A">
      <w:pPr>
        <w:jc w:val="both"/>
        <w:rPr>
          <w:b/>
          <w:sz w:val="26"/>
          <w:szCs w:val="26"/>
        </w:rPr>
      </w:pPr>
      <w:r w:rsidRPr="00884016">
        <w:rPr>
          <w:b/>
          <w:sz w:val="26"/>
          <w:szCs w:val="26"/>
        </w:rPr>
        <w:lastRenderedPageBreak/>
        <w:t>Objet de la journée</w:t>
      </w:r>
      <w:r w:rsidR="001E3425">
        <w:rPr>
          <w:b/>
          <w:sz w:val="26"/>
          <w:szCs w:val="26"/>
        </w:rPr>
        <w:t>. Une mutualisation du savoir.</w:t>
      </w:r>
    </w:p>
    <w:p w:rsidR="00CD4C9A" w:rsidRPr="00884016" w:rsidRDefault="00CD4C9A" w:rsidP="00CD4C9A">
      <w:pPr>
        <w:jc w:val="both"/>
        <w:rPr>
          <w:sz w:val="26"/>
          <w:szCs w:val="26"/>
        </w:rPr>
      </w:pPr>
      <w:r w:rsidRPr="00884016">
        <w:rPr>
          <w:sz w:val="26"/>
          <w:szCs w:val="26"/>
        </w:rPr>
        <w:t>La journée internationale Mofid a pour objet d</w:t>
      </w:r>
      <w:r w:rsidR="007E0F23">
        <w:rPr>
          <w:sz w:val="26"/>
          <w:szCs w:val="26"/>
        </w:rPr>
        <w:t xml:space="preserve">’inviter </w:t>
      </w:r>
      <w:r w:rsidRPr="00884016">
        <w:rPr>
          <w:sz w:val="26"/>
          <w:szCs w:val="26"/>
        </w:rPr>
        <w:t>des chercheurs de différents horizons tunisiens et étrangers</w:t>
      </w:r>
      <w:r w:rsidR="007E0F23">
        <w:rPr>
          <w:sz w:val="26"/>
          <w:szCs w:val="26"/>
        </w:rPr>
        <w:t>,</w:t>
      </w:r>
      <w:r w:rsidRPr="00884016">
        <w:rPr>
          <w:sz w:val="26"/>
          <w:szCs w:val="26"/>
        </w:rPr>
        <w:t xml:space="preserve"> pour discuter de problématiques qui r</w:t>
      </w:r>
      <w:r w:rsidR="007E69FF">
        <w:rPr>
          <w:sz w:val="26"/>
          <w:szCs w:val="26"/>
        </w:rPr>
        <w:t xml:space="preserve">ecouvrent la monnaie, la banque, le financement </w:t>
      </w:r>
      <w:r w:rsidRPr="00884016">
        <w:rPr>
          <w:sz w:val="26"/>
          <w:szCs w:val="26"/>
        </w:rPr>
        <w:t xml:space="preserve">et le développement économique. </w:t>
      </w:r>
      <w:r w:rsidR="00AC5047">
        <w:rPr>
          <w:sz w:val="26"/>
          <w:szCs w:val="26"/>
        </w:rPr>
        <w:t xml:space="preserve">Il s’agit de réunir dans un seul lieu des chercheurs connus </w:t>
      </w:r>
      <w:r w:rsidRPr="00884016">
        <w:rPr>
          <w:sz w:val="26"/>
          <w:szCs w:val="26"/>
        </w:rPr>
        <w:t xml:space="preserve">qui ont développé une expertise en la matière avec les jeunes </w:t>
      </w:r>
      <w:r w:rsidR="001E3425">
        <w:rPr>
          <w:sz w:val="26"/>
          <w:szCs w:val="26"/>
        </w:rPr>
        <w:t xml:space="preserve">docteurs et doctorants </w:t>
      </w:r>
      <w:r w:rsidRPr="00884016">
        <w:rPr>
          <w:sz w:val="26"/>
          <w:szCs w:val="26"/>
        </w:rPr>
        <w:t xml:space="preserve">et les professionnels pour échanger les </w:t>
      </w:r>
      <w:r w:rsidR="007E69FF">
        <w:rPr>
          <w:sz w:val="26"/>
          <w:szCs w:val="26"/>
        </w:rPr>
        <w:t>p</w:t>
      </w:r>
      <w:r w:rsidR="00C54602">
        <w:rPr>
          <w:sz w:val="26"/>
          <w:szCs w:val="26"/>
        </w:rPr>
        <w:t xml:space="preserve">oints </w:t>
      </w:r>
      <w:r w:rsidRPr="00884016">
        <w:rPr>
          <w:sz w:val="26"/>
          <w:szCs w:val="26"/>
        </w:rPr>
        <w:t>de vue et rendre compte des avancées réalisées dans ce domaine</w:t>
      </w:r>
      <w:r w:rsidR="00AC5047">
        <w:rPr>
          <w:sz w:val="26"/>
          <w:szCs w:val="26"/>
        </w:rPr>
        <w:t xml:space="preserve"> (mutualisation du savoir)</w:t>
      </w:r>
      <w:r w:rsidRPr="00884016">
        <w:rPr>
          <w:sz w:val="26"/>
          <w:szCs w:val="26"/>
        </w:rPr>
        <w:t>. Les institutions et les laboratoires associés</w:t>
      </w:r>
      <w:r w:rsidR="001E3425">
        <w:rPr>
          <w:sz w:val="26"/>
          <w:szCs w:val="26"/>
        </w:rPr>
        <w:t>,</w:t>
      </w:r>
      <w:r w:rsidRPr="00884016">
        <w:rPr>
          <w:sz w:val="26"/>
          <w:szCs w:val="26"/>
        </w:rPr>
        <w:t xml:space="preserve"> participent à la sélection des documents proposés et s’</w:t>
      </w:r>
      <w:r w:rsidR="007E69FF" w:rsidRPr="00884016">
        <w:rPr>
          <w:sz w:val="26"/>
          <w:szCs w:val="26"/>
        </w:rPr>
        <w:t>engagent</w:t>
      </w:r>
      <w:r w:rsidRPr="00884016">
        <w:rPr>
          <w:sz w:val="26"/>
          <w:szCs w:val="26"/>
        </w:rPr>
        <w:t xml:space="preserve"> à </w:t>
      </w:r>
      <w:r w:rsidR="007E69FF" w:rsidRPr="00884016">
        <w:rPr>
          <w:sz w:val="26"/>
          <w:szCs w:val="26"/>
        </w:rPr>
        <w:t>faire</w:t>
      </w:r>
      <w:r w:rsidRPr="00884016">
        <w:rPr>
          <w:sz w:val="26"/>
          <w:szCs w:val="26"/>
        </w:rPr>
        <w:t xml:space="preserve"> réussir la manifestation et à contribuer à publier les actes de la journée si besoin. </w:t>
      </w:r>
    </w:p>
    <w:p w:rsidR="00CD4C9A" w:rsidRPr="00884016" w:rsidRDefault="00CD4C9A" w:rsidP="00CD4C9A">
      <w:pPr>
        <w:jc w:val="both"/>
        <w:rPr>
          <w:b/>
          <w:sz w:val="26"/>
          <w:szCs w:val="26"/>
        </w:rPr>
      </w:pPr>
      <w:r w:rsidRPr="00884016">
        <w:rPr>
          <w:b/>
          <w:sz w:val="26"/>
          <w:szCs w:val="26"/>
        </w:rPr>
        <w:t>Les papiers</w:t>
      </w:r>
    </w:p>
    <w:p w:rsidR="007E69FF" w:rsidRDefault="00CD4C9A" w:rsidP="00CD4C9A">
      <w:pPr>
        <w:jc w:val="both"/>
        <w:rPr>
          <w:sz w:val="26"/>
          <w:szCs w:val="26"/>
        </w:rPr>
      </w:pPr>
      <w:r w:rsidRPr="00884016">
        <w:rPr>
          <w:sz w:val="26"/>
          <w:szCs w:val="26"/>
        </w:rPr>
        <w:t xml:space="preserve">Les documents présentés sont sélectionnés par les laboratoires de recherche </w:t>
      </w:r>
      <w:r w:rsidR="007E0F23">
        <w:rPr>
          <w:sz w:val="26"/>
          <w:szCs w:val="26"/>
        </w:rPr>
        <w:t xml:space="preserve">associés </w:t>
      </w:r>
      <w:r w:rsidR="00AC5047">
        <w:rPr>
          <w:sz w:val="26"/>
          <w:szCs w:val="26"/>
        </w:rPr>
        <w:t xml:space="preserve">puis par </w:t>
      </w:r>
      <w:r w:rsidRPr="00884016">
        <w:rPr>
          <w:sz w:val="26"/>
          <w:szCs w:val="26"/>
        </w:rPr>
        <w:t>l</w:t>
      </w:r>
      <w:r w:rsidR="007E69FF">
        <w:rPr>
          <w:sz w:val="26"/>
          <w:szCs w:val="26"/>
        </w:rPr>
        <w:t>e</w:t>
      </w:r>
      <w:r w:rsidRPr="00884016">
        <w:rPr>
          <w:sz w:val="26"/>
          <w:szCs w:val="26"/>
        </w:rPr>
        <w:t xml:space="preserve"> comité scientifique constitué de professeurs confirmés provenant de différents établissements. Pour cette année 2021</w:t>
      </w:r>
      <w:r w:rsidR="007E69FF">
        <w:rPr>
          <w:sz w:val="26"/>
          <w:szCs w:val="26"/>
        </w:rPr>
        <w:t>,</w:t>
      </w:r>
      <w:r w:rsidRPr="00884016">
        <w:rPr>
          <w:sz w:val="26"/>
          <w:szCs w:val="26"/>
        </w:rPr>
        <w:t xml:space="preserve"> et à l’occasion de l’organisation de seizième journée, les textes doivent être envoyés </w:t>
      </w:r>
      <w:r w:rsidR="007E69FF">
        <w:rPr>
          <w:sz w:val="26"/>
          <w:szCs w:val="26"/>
        </w:rPr>
        <w:t xml:space="preserve">au plus-tard, à la </w:t>
      </w:r>
      <w:r w:rsidRPr="00884016">
        <w:rPr>
          <w:sz w:val="26"/>
          <w:szCs w:val="26"/>
        </w:rPr>
        <w:t xml:space="preserve">date du </w:t>
      </w:r>
      <w:r w:rsidRPr="007E69FF">
        <w:rPr>
          <w:b/>
          <w:sz w:val="26"/>
          <w:szCs w:val="26"/>
        </w:rPr>
        <w:t>1</w:t>
      </w:r>
      <w:r w:rsidRPr="007E69FF">
        <w:rPr>
          <w:b/>
          <w:sz w:val="26"/>
          <w:szCs w:val="26"/>
          <w:vertAlign w:val="superscript"/>
        </w:rPr>
        <w:t>er</w:t>
      </w:r>
      <w:r w:rsidRPr="007E69FF">
        <w:rPr>
          <w:b/>
          <w:sz w:val="26"/>
          <w:szCs w:val="26"/>
        </w:rPr>
        <w:t xml:space="preserve"> avril 2021</w:t>
      </w:r>
      <w:r w:rsidRPr="00884016">
        <w:rPr>
          <w:sz w:val="26"/>
          <w:szCs w:val="26"/>
        </w:rPr>
        <w:t>. Une réponse ainsi que le programme de la journée</w:t>
      </w:r>
      <w:r w:rsidR="009266C8">
        <w:rPr>
          <w:sz w:val="26"/>
          <w:szCs w:val="26"/>
        </w:rPr>
        <w:t>,</w:t>
      </w:r>
      <w:r w:rsidRPr="00884016">
        <w:rPr>
          <w:sz w:val="26"/>
          <w:szCs w:val="26"/>
        </w:rPr>
        <w:t xml:space="preserve"> parviendront au participant au début du mois de mai. La journée est ouverte à tous les étudiants </w:t>
      </w:r>
      <w:r w:rsidR="007E69FF">
        <w:rPr>
          <w:sz w:val="26"/>
          <w:szCs w:val="26"/>
        </w:rPr>
        <w:t xml:space="preserve">et </w:t>
      </w:r>
      <w:r w:rsidR="009266C8">
        <w:rPr>
          <w:sz w:val="26"/>
          <w:szCs w:val="26"/>
        </w:rPr>
        <w:t>chercheurs.</w:t>
      </w:r>
    </w:p>
    <w:p w:rsidR="00CD4C9A" w:rsidRPr="00884016" w:rsidRDefault="00CD4C9A" w:rsidP="00CD4C9A">
      <w:pPr>
        <w:jc w:val="both"/>
        <w:rPr>
          <w:sz w:val="26"/>
          <w:szCs w:val="26"/>
        </w:rPr>
      </w:pPr>
      <w:r w:rsidRPr="00884016">
        <w:rPr>
          <w:sz w:val="26"/>
          <w:szCs w:val="26"/>
        </w:rPr>
        <w:t>Les frais de participation qui donnent droit à la pause café et au déjeuner ont été fixés à quatre-vingts dinars (80 dinars) à verser sur le compte de l’association les amis de la F</w:t>
      </w:r>
      <w:r w:rsidR="007E69FF">
        <w:rPr>
          <w:sz w:val="26"/>
          <w:szCs w:val="26"/>
        </w:rPr>
        <w:t xml:space="preserve">seg </w:t>
      </w:r>
      <w:r w:rsidRPr="00884016">
        <w:rPr>
          <w:sz w:val="26"/>
          <w:szCs w:val="26"/>
        </w:rPr>
        <w:t xml:space="preserve">de Sousse ou à payer </w:t>
      </w:r>
      <w:r w:rsidR="007E69FF">
        <w:rPr>
          <w:sz w:val="26"/>
          <w:szCs w:val="26"/>
        </w:rPr>
        <w:t>le jour même</w:t>
      </w:r>
      <w:r w:rsidR="001E3425">
        <w:rPr>
          <w:sz w:val="26"/>
          <w:szCs w:val="26"/>
        </w:rPr>
        <w:t>.</w:t>
      </w:r>
    </w:p>
    <w:p w:rsidR="00CD4C9A" w:rsidRPr="00884016" w:rsidRDefault="00CD4C9A" w:rsidP="00CD4C9A">
      <w:pPr>
        <w:jc w:val="both"/>
        <w:rPr>
          <w:b/>
          <w:sz w:val="26"/>
          <w:szCs w:val="26"/>
        </w:rPr>
      </w:pPr>
      <w:r w:rsidRPr="00884016">
        <w:rPr>
          <w:b/>
          <w:sz w:val="26"/>
          <w:szCs w:val="26"/>
        </w:rPr>
        <w:t>Les conditions générales</w:t>
      </w:r>
    </w:p>
    <w:p w:rsidR="009266C8" w:rsidRDefault="00CD4C9A" w:rsidP="00CD4C9A">
      <w:pPr>
        <w:jc w:val="both"/>
        <w:rPr>
          <w:sz w:val="26"/>
          <w:szCs w:val="26"/>
        </w:rPr>
      </w:pPr>
      <w:r w:rsidRPr="00884016">
        <w:rPr>
          <w:sz w:val="26"/>
          <w:szCs w:val="26"/>
        </w:rPr>
        <w:t xml:space="preserve">La commission scientifique </w:t>
      </w:r>
      <w:r w:rsidR="00AC5047">
        <w:rPr>
          <w:sz w:val="26"/>
          <w:szCs w:val="26"/>
        </w:rPr>
        <w:t>accepte tous les documents qui sont en lien avec la monnaie, la banque, le financement</w:t>
      </w:r>
      <w:r w:rsidR="001E3425">
        <w:rPr>
          <w:sz w:val="26"/>
          <w:szCs w:val="26"/>
        </w:rPr>
        <w:t xml:space="preserve">. Elle </w:t>
      </w:r>
      <w:r w:rsidRPr="00884016">
        <w:rPr>
          <w:sz w:val="26"/>
          <w:szCs w:val="26"/>
        </w:rPr>
        <w:t xml:space="preserve">accorde la priorité aux papiers qui n’ont pas été publiés dans des revues et qui présentent une certaine originalité. Pour cette année 2021, sont sélectionnés </w:t>
      </w:r>
      <w:r w:rsidR="001E3425">
        <w:rPr>
          <w:sz w:val="26"/>
          <w:szCs w:val="26"/>
        </w:rPr>
        <w:t xml:space="preserve">en premier, </w:t>
      </w:r>
      <w:r w:rsidRPr="00884016">
        <w:rPr>
          <w:sz w:val="26"/>
          <w:szCs w:val="26"/>
        </w:rPr>
        <w:t xml:space="preserve">les textes qui traitent de la crise. </w:t>
      </w:r>
      <w:r w:rsidRPr="00884016">
        <w:rPr>
          <w:b/>
          <w:sz w:val="26"/>
          <w:szCs w:val="26"/>
        </w:rPr>
        <w:t xml:space="preserve">Causes, déclenchement et coûts sociaux économiques. </w:t>
      </w:r>
      <w:r w:rsidRPr="00AC5047">
        <w:rPr>
          <w:sz w:val="26"/>
          <w:szCs w:val="26"/>
        </w:rPr>
        <w:t xml:space="preserve">Les papiers </w:t>
      </w:r>
      <w:r w:rsidRPr="00884016">
        <w:rPr>
          <w:sz w:val="26"/>
          <w:szCs w:val="26"/>
        </w:rPr>
        <w:t xml:space="preserve">doivent être exempts de tout plagiat. </w:t>
      </w:r>
    </w:p>
    <w:p w:rsidR="00CD4C9A" w:rsidRPr="00884016" w:rsidRDefault="00CD4C9A" w:rsidP="00CD4C9A">
      <w:pPr>
        <w:jc w:val="both"/>
        <w:rPr>
          <w:sz w:val="26"/>
          <w:szCs w:val="26"/>
        </w:rPr>
      </w:pPr>
      <w:r w:rsidRPr="00884016">
        <w:rPr>
          <w:sz w:val="26"/>
          <w:szCs w:val="26"/>
        </w:rPr>
        <w:t>S’agissant des propositions des jeunes chercheurs, une attention particulière est accordée à ceux qui sont cosignés avec les directeurs de recherche et les séniors.</w:t>
      </w:r>
      <w:r w:rsidR="007E69FF">
        <w:rPr>
          <w:sz w:val="26"/>
          <w:szCs w:val="26"/>
        </w:rPr>
        <w:t xml:space="preserve"> Tous les </w:t>
      </w:r>
      <w:r w:rsidR="001E3425">
        <w:rPr>
          <w:sz w:val="26"/>
          <w:szCs w:val="26"/>
        </w:rPr>
        <w:t xml:space="preserve">textes sont lus et </w:t>
      </w:r>
      <w:r w:rsidR="007E69FF">
        <w:rPr>
          <w:sz w:val="26"/>
          <w:szCs w:val="26"/>
        </w:rPr>
        <w:t>sont comme</w:t>
      </w:r>
      <w:r w:rsidR="001E3425">
        <w:rPr>
          <w:sz w:val="26"/>
          <w:szCs w:val="26"/>
        </w:rPr>
        <w:t>ntés par un sénior et un junior conformément à notre tradition.</w:t>
      </w:r>
    </w:p>
    <w:p w:rsidR="001E3425" w:rsidRDefault="001E3425" w:rsidP="00CD4C9A">
      <w:pPr>
        <w:jc w:val="both"/>
        <w:rPr>
          <w:b/>
          <w:sz w:val="26"/>
          <w:szCs w:val="26"/>
        </w:rPr>
      </w:pPr>
    </w:p>
    <w:p w:rsidR="001E3425" w:rsidRDefault="001E3425" w:rsidP="00CD4C9A">
      <w:pPr>
        <w:jc w:val="both"/>
        <w:rPr>
          <w:b/>
          <w:sz w:val="26"/>
          <w:szCs w:val="26"/>
        </w:rPr>
      </w:pPr>
    </w:p>
    <w:p w:rsidR="00CD4C9A" w:rsidRPr="00884016" w:rsidRDefault="00CD4C9A" w:rsidP="00CD4C9A">
      <w:pPr>
        <w:jc w:val="both"/>
        <w:rPr>
          <w:b/>
          <w:sz w:val="26"/>
          <w:szCs w:val="26"/>
        </w:rPr>
      </w:pPr>
      <w:r w:rsidRPr="00884016">
        <w:rPr>
          <w:b/>
          <w:sz w:val="26"/>
          <w:szCs w:val="26"/>
        </w:rPr>
        <w:lastRenderedPageBreak/>
        <w:t>Les conditions portant sur les documents de travail</w:t>
      </w:r>
    </w:p>
    <w:p w:rsidR="00CD4C9A" w:rsidRPr="00884016" w:rsidRDefault="00CD4C9A" w:rsidP="00CD4C9A">
      <w:pPr>
        <w:jc w:val="both"/>
        <w:rPr>
          <w:sz w:val="26"/>
          <w:szCs w:val="26"/>
        </w:rPr>
      </w:pPr>
      <w:r w:rsidRPr="00884016">
        <w:rPr>
          <w:sz w:val="26"/>
          <w:szCs w:val="26"/>
        </w:rPr>
        <w:t xml:space="preserve">Pour éviter les discussions portant sur la forme, les candidats doivent soigner leurs textes, se faire lire par leurs équipes de recherche et </w:t>
      </w:r>
      <w:r w:rsidR="00AC5047">
        <w:rPr>
          <w:sz w:val="26"/>
          <w:szCs w:val="26"/>
        </w:rPr>
        <w:t xml:space="preserve">faire un effort pour proposer une </w:t>
      </w:r>
      <w:r w:rsidRPr="00884016">
        <w:rPr>
          <w:sz w:val="26"/>
          <w:szCs w:val="26"/>
        </w:rPr>
        <w:t>présentation</w:t>
      </w:r>
      <w:r w:rsidR="00F91D48">
        <w:rPr>
          <w:sz w:val="26"/>
          <w:szCs w:val="26"/>
        </w:rPr>
        <w:t xml:space="preserve"> claire</w:t>
      </w:r>
      <w:r w:rsidRPr="00884016">
        <w:rPr>
          <w:sz w:val="26"/>
          <w:szCs w:val="26"/>
        </w:rPr>
        <w:t xml:space="preserve">. Les </w:t>
      </w:r>
      <w:r w:rsidR="001E3425">
        <w:rPr>
          <w:sz w:val="26"/>
          <w:szCs w:val="26"/>
        </w:rPr>
        <w:t xml:space="preserve">documents proposés </w:t>
      </w:r>
      <w:r w:rsidRPr="00884016">
        <w:rPr>
          <w:sz w:val="26"/>
          <w:szCs w:val="26"/>
        </w:rPr>
        <w:t>ne doivent pas dépasser une trentaine de pages, bibliographie et annexes comprises</w:t>
      </w:r>
      <w:r w:rsidR="001E3425">
        <w:rPr>
          <w:sz w:val="26"/>
          <w:szCs w:val="26"/>
        </w:rPr>
        <w:t xml:space="preserve">. Ils </w:t>
      </w:r>
      <w:r w:rsidRPr="00884016">
        <w:rPr>
          <w:sz w:val="26"/>
          <w:szCs w:val="26"/>
        </w:rPr>
        <w:t xml:space="preserve">doivent comprendre un résumé en français et en anglais. Afin d’accélérer la publication des textes choisis dans les actes de la journée, </w:t>
      </w:r>
      <w:r w:rsidR="00F91D48">
        <w:rPr>
          <w:sz w:val="26"/>
          <w:szCs w:val="26"/>
        </w:rPr>
        <w:t>il est souhaitable</w:t>
      </w:r>
      <w:r w:rsidR="007E69FF">
        <w:rPr>
          <w:sz w:val="26"/>
          <w:szCs w:val="26"/>
        </w:rPr>
        <w:t xml:space="preserve"> que les can</w:t>
      </w:r>
      <w:r w:rsidRPr="00884016">
        <w:rPr>
          <w:sz w:val="26"/>
          <w:szCs w:val="26"/>
        </w:rPr>
        <w:t>didats respectent les conditions d’édition suivantes :</w:t>
      </w:r>
    </w:p>
    <w:p w:rsidR="00CD4C9A" w:rsidRPr="00884016" w:rsidRDefault="00CD4C9A" w:rsidP="00CD4C9A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884016">
        <w:rPr>
          <w:sz w:val="26"/>
          <w:szCs w:val="26"/>
        </w:rPr>
        <w:t>Le traitement du texte doit être de préférence usuel (en World),</w:t>
      </w:r>
    </w:p>
    <w:p w:rsidR="00CD4C9A" w:rsidRPr="00884016" w:rsidRDefault="00CD4C9A" w:rsidP="00CD4C9A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884016">
        <w:rPr>
          <w:sz w:val="26"/>
          <w:szCs w:val="26"/>
        </w:rPr>
        <w:t xml:space="preserve">Police courante (Times New Romans de préférence) et de taille 12 et de 10 pour les notes. </w:t>
      </w:r>
    </w:p>
    <w:p w:rsidR="00CD4C9A" w:rsidRPr="00884016" w:rsidRDefault="00CD4C9A" w:rsidP="00CD4C9A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884016">
        <w:rPr>
          <w:sz w:val="26"/>
          <w:szCs w:val="26"/>
        </w:rPr>
        <w:t>Interligne simple.</w:t>
      </w:r>
    </w:p>
    <w:p w:rsidR="00CD4C9A" w:rsidRPr="00884016" w:rsidRDefault="00CD4C9A" w:rsidP="00CD4C9A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884016">
        <w:rPr>
          <w:sz w:val="26"/>
          <w:szCs w:val="26"/>
        </w:rPr>
        <w:t xml:space="preserve"> Titre en minuscule,</w:t>
      </w:r>
      <w:r w:rsidR="007E69FF" w:rsidRPr="007E69FF">
        <w:rPr>
          <w:sz w:val="26"/>
          <w:szCs w:val="26"/>
        </w:rPr>
        <w:t xml:space="preserve"> </w:t>
      </w:r>
      <w:r w:rsidRPr="00884016">
        <w:rPr>
          <w:sz w:val="26"/>
          <w:szCs w:val="26"/>
          <w:u w:val="single"/>
        </w:rPr>
        <w:t>Prénom et Nom</w:t>
      </w:r>
      <w:r w:rsidRPr="00884016">
        <w:rPr>
          <w:sz w:val="26"/>
          <w:szCs w:val="26"/>
        </w:rPr>
        <w:t xml:space="preserve"> de </w:t>
      </w:r>
      <w:r w:rsidR="007E69FF">
        <w:rPr>
          <w:sz w:val="26"/>
          <w:szCs w:val="26"/>
        </w:rPr>
        <w:t xml:space="preserve">l’auteur </w:t>
      </w:r>
      <w:r w:rsidRPr="00884016">
        <w:rPr>
          <w:sz w:val="26"/>
          <w:szCs w:val="26"/>
        </w:rPr>
        <w:t>ou des auteurs, indication de la structure d’origine (université, labo ou unité de recherche ou tout autre centre de rattachement).</w:t>
      </w:r>
    </w:p>
    <w:p w:rsidR="00CD4C9A" w:rsidRPr="00884016" w:rsidRDefault="00CD4C9A" w:rsidP="00CD4C9A">
      <w:pPr>
        <w:jc w:val="both"/>
        <w:rPr>
          <w:b/>
          <w:sz w:val="26"/>
          <w:szCs w:val="26"/>
        </w:rPr>
      </w:pPr>
      <w:r w:rsidRPr="00884016">
        <w:rPr>
          <w:b/>
          <w:sz w:val="26"/>
          <w:szCs w:val="26"/>
        </w:rPr>
        <w:t>Participation et modalités de paiements des frais.</w:t>
      </w:r>
    </w:p>
    <w:p w:rsidR="00A655E8" w:rsidRDefault="00CD4C9A" w:rsidP="00A655E8">
      <w:pPr>
        <w:jc w:val="both"/>
        <w:rPr>
          <w:sz w:val="26"/>
          <w:szCs w:val="26"/>
        </w:rPr>
      </w:pPr>
      <w:r w:rsidRPr="00884016">
        <w:rPr>
          <w:sz w:val="26"/>
          <w:szCs w:val="26"/>
        </w:rPr>
        <w:t xml:space="preserve">La contribution de chacun participant s’élève à 80 </w:t>
      </w:r>
      <w:r w:rsidR="007E69FF">
        <w:rPr>
          <w:sz w:val="26"/>
          <w:szCs w:val="26"/>
        </w:rPr>
        <w:t xml:space="preserve">(quatre-vingts) </w:t>
      </w:r>
      <w:r w:rsidRPr="00884016">
        <w:rPr>
          <w:sz w:val="26"/>
          <w:szCs w:val="26"/>
        </w:rPr>
        <w:t>dinars. Le versement se fait sur le compte de l’association les amis de la fseg de Sousse</w:t>
      </w:r>
      <w:r w:rsidR="00F91D48">
        <w:rPr>
          <w:sz w:val="26"/>
          <w:szCs w:val="26"/>
        </w:rPr>
        <w:t xml:space="preserve"> </w:t>
      </w:r>
      <w:r w:rsidR="009266C8">
        <w:rPr>
          <w:sz w:val="26"/>
          <w:szCs w:val="26"/>
        </w:rPr>
        <w:t>(r</w:t>
      </w:r>
      <w:r w:rsidR="00F91D48" w:rsidRPr="00884016">
        <w:rPr>
          <w:sz w:val="26"/>
          <w:szCs w:val="26"/>
        </w:rPr>
        <w:t xml:space="preserve">éférence d’identité postale </w:t>
      </w:r>
      <w:r w:rsidR="00F91D48" w:rsidRPr="00884016">
        <w:rPr>
          <w:b/>
          <w:sz w:val="26"/>
          <w:szCs w:val="26"/>
        </w:rPr>
        <w:t>17 503 000000 2277600 79</w:t>
      </w:r>
      <w:r w:rsidR="00F91D48">
        <w:rPr>
          <w:b/>
          <w:sz w:val="26"/>
          <w:szCs w:val="26"/>
        </w:rPr>
        <w:t xml:space="preserve">). </w:t>
      </w:r>
      <w:r w:rsidRPr="00884016">
        <w:rPr>
          <w:sz w:val="26"/>
          <w:szCs w:val="26"/>
        </w:rPr>
        <w:t xml:space="preserve">Les docteurs non affiliés à des laboratoires </w:t>
      </w:r>
      <w:r w:rsidR="007E69FF">
        <w:rPr>
          <w:sz w:val="26"/>
          <w:szCs w:val="26"/>
        </w:rPr>
        <w:t xml:space="preserve">et les étudiants de mastères </w:t>
      </w:r>
      <w:r w:rsidRPr="00884016">
        <w:rPr>
          <w:sz w:val="26"/>
          <w:szCs w:val="26"/>
        </w:rPr>
        <w:t>peuvent bénéficier de tarifs plus modestes sur demande</w:t>
      </w:r>
      <w:r w:rsidR="00F91D48">
        <w:rPr>
          <w:sz w:val="26"/>
          <w:szCs w:val="26"/>
        </w:rPr>
        <w:t xml:space="preserve">. </w:t>
      </w:r>
      <w:r w:rsidR="007E69FF">
        <w:rPr>
          <w:sz w:val="26"/>
          <w:szCs w:val="26"/>
        </w:rPr>
        <w:t>En contrepartie, les organisateurs mettent à la disposition de l’intervenant une attestation.</w:t>
      </w:r>
    </w:p>
    <w:p w:rsidR="00CD4C9A" w:rsidRPr="007E69FF" w:rsidRDefault="00CD4C9A" w:rsidP="00A655E8">
      <w:pPr>
        <w:spacing w:after="0"/>
        <w:jc w:val="center"/>
        <w:rPr>
          <w:b/>
          <w:sz w:val="26"/>
          <w:szCs w:val="26"/>
        </w:rPr>
      </w:pPr>
      <w:r w:rsidRPr="007E69FF">
        <w:rPr>
          <w:b/>
          <w:sz w:val="26"/>
          <w:szCs w:val="26"/>
        </w:rPr>
        <w:t>A retenir</w:t>
      </w:r>
    </w:p>
    <w:tbl>
      <w:tblPr>
        <w:tblStyle w:val="Ombrageclair"/>
        <w:tblW w:w="5000" w:type="pct"/>
        <w:tblLook w:val="04A0"/>
      </w:tblPr>
      <w:tblGrid>
        <w:gridCol w:w="3630"/>
        <w:gridCol w:w="5658"/>
      </w:tblGrid>
      <w:tr w:rsidR="00CD4C9A" w:rsidRPr="002347E5" w:rsidTr="00320E1A">
        <w:trPr>
          <w:cnfStyle w:val="100000000000"/>
        </w:trPr>
        <w:tc>
          <w:tcPr>
            <w:cnfStyle w:val="001000000000"/>
            <w:tcW w:w="1954" w:type="pct"/>
          </w:tcPr>
          <w:p w:rsidR="00CD4C9A" w:rsidRPr="002347E5" w:rsidRDefault="00CD4C9A" w:rsidP="005C1320">
            <w:pPr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Mofid 2021</w:t>
            </w:r>
          </w:p>
        </w:tc>
        <w:tc>
          <w:tcPr>
            <w:tcW w:w="3046" w:type="pct"/>
          </w:tcPr>
          <w:p w:rsidR="00CD4C9A" w:rsidRPr="002347E5" w:rsidRDefault="00CD4C9A" w:rsidP="007E69FF">
            <w:pPr>
              <w:jc w:val="center"/>
              <w:cnfStyle w:val="100000000000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Seizième journée internationale</w:t>
            </w:r>
          </w:p>
        </w:tc>
      </w:tr>
      <w:tr w:rsidR="00CD4C9A" w:rsidRPr="002347E5" w:rsidTr="00320E1A">
        <w:trPr>
          <w:cnfStyle w:val="000000100000"/>
        </w:trPr>
        <w:tc>
          <w:tcPr>
            <w:cnfStyle w:val="001000000000"/>
            <w:tcW w:w="1954" w:type="pct"/>
          </w:tcPr>
          <w:p w:rsidR="00CD4C9A" w:rsidRPr="002347E5" w:rsidRDefault="00CD4C9A" w:rsidP="007E69FF">
            <w:pPr>
              <w:jc w:val="center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Intitulé</w:t>
            </w:r>
          </w:p>
        </w:tc>
        <w:tc>
          <w:tcPr>
            <w:tcW w:w="3046" w:type="pct"/>
          </w:tcPr>
          <w:p w:rsidR="00CD4C9A" w:rsidRPr="002347E5" w:rsidRDefault="00CD4C9A" w:rsidP="007E69FF">
            <w:pPr>
              <w:jc w:val="center"/>
              <w:cnfStyle w:val="000000100000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La crise</w:t>
            </w:r>
            <w:r w:rsidR="007E69FF" w:rsidRPr="002347E5">
              <w:rPr>
                <w:sz w:val="24"/>
                <w:szCs w:val="24"/>
              </w:rPr>
              <w:t>.</w:t>
            </w:r>
          </w:p>
        </w:tc>
      </w:tr>
      <w:tr w:rsidR="00CD4C9A" w:rsidRPr="002347E5" w:rsidTr="00320E1A">
        <w:tc>
          <w:tcPr>
            <w:cnfStyle w:val="001000000000"/>
            <w:tcW w:w="1954" w:type="pct"/>
          </w:tcPr>
          <w:p w:rsidR="00CD4C9A" w:rsidRPr="002347E5" w:rsidRDefault="00CD4C9A" w:rsidP="007E69FF">
            <w:pPr>
              <w:jc w:val="center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Lieu</w:t>
            </w:r>
          </w:p>
        </w:tc>
        <w:tc>
          <w:tcPr>
            <w:tcW w:w="3046" w:type="pct"/>
          </w:tcPr>
          <w:p w:rsidR="00CD4C9A" w:rsidRPr="002347E5" w:rsidRDefault="00CD4C9A" w:rsidP="002347E5">
            <w:pPr>
              <w:jc w:val="center"/>
              <w:cnfStyle w:val="000000000000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F</w:t>
            </w:r>
            <w:r w:rsidR="002347E5">
              <w:rPr>
                <w:sz w:val="24"/>
                <w:szCs w:val="24"/>
              </w:rPr>
              <w:t>SEG de Sousse. C</w:t>
            </w:r>
            <w:r w:rsidRPr="002347E5">
              <w:rPr>
                <w:sz w:val="24"/>
                <w:szCs w:val="24"/>
              </w:rPr>
              <w:t>ité Riadh. Sousse.</w:t>
            </w:r>
          </w:p>
        </w:tc>
      </w:tr>
      <w:tr w:rsidR="00CD4C9A" w:rsidRPr="002347E5" w:rsidTr="00320E1A">
        <w:trPr>
          <w:cnfStyle w:val="000000100000"/>
        </w:trPr>
        <w:tc>
          <w:tcPr>
            <w:cnfStyle w:val="001000000000"/>
            <w:tcW w:w="1954" w:type="pct"/>
          </w:tcPr>
          <w:p w:rsidR="00CD4C9A" w:rsidRPr="002347E5" w:rsidRDefault="00CD4C9A" w:rsidP="007E69FF">
            <w:pPr>
              <w:jc w:val="center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Date</w:t>
            </w:r>
          </w:p>
        </w:tc>
        <w:tc>
          <w:tcPr>
            <w:tcW w:w="3046" w:type="pct"/>
          </w:tcPr>
          <w:p w:rsidR="00CD4C9A" w:rsidRPr="002347E5" w:rsidRDefault="007E69FF" w:rsidP="007E69FF">
            <w:pPr>
              <w:jc w:val="center"/>
              <w:cnfStyle w:val="000000100000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Samedi 22</w:t>
            </w:r>
            <w:r w:rsidR="00CD4C9A" w:rsidRPr="002347E5">
              <w:rPr>
                <w:sz w:val="24"/>
                <w:szCs w:val="24"/>
              </w:rPr>
              <w:t xml:space="preserve"> mai 2021</w:t>
            </w:r>
          </w:p>
        </w:tc>
      </w:tr>
      <w:tr w:rsidR="00CD4C9A" w:rsidRPr="002347E5" w:rsidTr="00320E1A">
        <w:tc>
          <w:tcPr>
            <w:cnfStyle w:val="001000000000"/>
            <w:tcW w:w="1954" w:type="pct"/>
          </w:tcPr>
          <w:p w:rsidR="00CD4C9A" w:rsidRPr="002347E5" w:rsidRDefault="00CD4C9A" w:rsidP="007E69FF">
            <w:pPr>
              <w:jc w:val="center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Date limite d</w:t>
            </w:r>
            <w:r w:rsidR="007E69FF" w:rsidRPr="002347E5">
              <w:rPr>
                <w:sz w:val="24"/>
                <w:szCs w:val="24"/>
              </w:rPr>
              <w:t xml:space="preserve">e réception </w:t>
            </w:r>
            <w:r w:rsidRPr="002347E5">
              <w:rPr>
                <w:sz w:val="24"/>
                <w:szCs w:val="24"/>
              </w:rPr>
              <w:t>des documents</w:t>
            </w:r>
          </w:p>
        </w:tc>
        <w:tc>
          <w:tcPr>
            <w:tcW w:w="3046" w:type="pct"/>
          </w:tcPr>
          <w:p w:rsidR="00CD4C9A" w:rsidRPr="002347E5" w:rsidRDefault="00CD4C9A" w:rsidP="005C1320">
            <w:pPr>
              <w:jc w:val="center"/>
              <w:cnfStyle w:val="000000000000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1</w:t>
            </w:r>
            <w:r w:rsidRPr="002347E5">
              <w:rPr>
                <w:sz w:val="24"/>
                <w:szCs w:val="24"/>
                <w:vertAlign w:val="superscript"/>
              </w:rPr>
              <w:t>er</w:t>
            </w:r>
            <w:r w:rsidRPr="002347E5">
              <w:rPr>
                <w:sz w:val="24"/>
                <w:szCs w:val="24"/>
              </w:rPr>
              <w:t xml:space="preserve"> avril 2021.</w:t>
            </w:r>
            <w:r w:rsidR="005C1320">
              <w:rPr>
                <w:sz w:val="24"/>
                <w:szCs w:val="24"/>
              </w:rPr>
              <w:t xml:space="preserve"> </w:t>
            </w:r>
            <w:hyperlink r:id="rId20" w:history="1">
              <w:r w:rsidR="00D46EFA" w:rsidRPr="00AF3F74">
                <w:rPr>
                  <w:rStyle w:val="Lienhypertexte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lesamisfseg@gmail.com</w:t>
              </w:r>
            </w:hyperlink>
          </w:p>
        </w:tc>
      </w:tr>
      <w:tr w:rsidR="00CD4C9A" w:rsidRPr="002347E5" w:rsidTr="00320E1A">
        <w:trPr>
          <w:cnfStyle w:val="000000100000"/>
        </w:trPr>
        <w:tc>
          <w:tcPr>
            <w:cnfStyle w:val="001000000000"/>
            <w:tcW w:w="1954" w:type="pct"/>
          </w:tcPr>
          <w:p w:rsidR="00CD4C9A" w:rsidRPr="002347E5" w:rsidRDefault="00CD4C9A" w:rsidP="007E69FF">
            <w:pPr>
              <w:jc w:val="center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Frais de participation</w:t>
            </w:r>
          </w:p>
        </w:tc>
        <w:tc>
          <w:tcPr>
            <w:tcW w:w="3046" w:type="pct"/>
          </w:tcPr>
          <w:p w:rsidR="00CD4C9A" w:rsidRPr="002347E5" w:rsidRDefault="00CD4C9A" w:rsidP="007E69FF">
            <w:pPr>
              <w:jc w:val="center"/>
              <w:cnfStyle w:val="000000100000"/>
              <w:rPr>
                <w:sz w:val="24"/>
                <w:szCs w:val="24"/>
              </w:rPr>
            </w:pPr>
            <w:r w:rsidRPr="002347E5">
              <w:rPr>
                <w:sz w:val="24"/>
                <w:szCs w:val="24"/>
              </w:rPr>
              <w:t>Quatre-vingt dinars</w:t>
            </w:r>
            <w:r w:rsidR="007E69FF" w:rsidRPr="002347E5">
              <w:rPr>
                <w:sz w:val="24"/>
                <w:szCs w:val="24"/>
              </w:rPr>
              <w:t xml:space="preserve"> – 80 dinars.</w:t>
            </w:r>
          </w:p>
        </w:tc>
      </w:tr>
      <w:tr w:rsidR="00CD4C9A" w:rsidRPr="002347E5" w:rsidTr="00A655E8">
        <w:trPr>
          <w:trHeight w:val="268"/>
        </w:trPr>
        <w:tc>
          <w:tcPr>
            <w:cnfStyle w:val="001000000000"/>
            <w:tcW w:w="1954" w:type="pct"/>
          </w:tcPr>
          <w:p w:rsidR="00CD4C9A" w:rsidRPr="002347E5" w:rsidRDefault="002347E5" w:rsidP="00234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D4C9A" w:rsidRPr="002347E5">
              <w:rPr>
                <w:sz w:val="24"/>
                <w:szCs w:val="24"/>
              </w:rPr>
              <w:t>dentité postale de l’associat</w:t>
            </w:r>
            <w:r>
              <w:rPr>
                <w:sz w:val="24"/>
                <w:szCs w:val="24"/>
              </w:rPr>
              <w:t>ion</w:t>
            </w:r>
          </w:p>
        </w:tc>
        <w:tc>
          <w:tcPr>
            <w:tcW w:w="3046" w:type="pct"/>
          </w:tcPr>
          <w:p w:rsidR="00CD4C9A" w:rsidRPr="002347E5" w:rsidRDefault="00CD4C9A" w:rsidP="002347E5">
            <w:pPr>
              <w:jc w:val="both"/>
              <w:cnfStyle w:val="000000000000"/>
              <w:rPr>
                <w:sz w:val="24"/>
                <w:szCs w:val="24"/>
              </w:rPr>
            </w:pPr>
            <w:r w:rsidRPr="002347E5">
              <w:rPr>
                <w:b/>
                <w:sz w:val="24"/>
                <w:szCs w:val="24"/>
              </w:rPr>
              <w:t>17 503 000000 2277600 79</w:t>
            </w:r>
          </w:p>
        </w:tc>
      </w:tr>
    </w:tbl>
    <w:p w:rsidR="00CD4C9A" w:rsidRPr="00884016" w:rsidRDefault="00CD4C9A" w:rsidP="00A655E8">
      <w:pPr>
        <w:rPr>
          <w:sz w:val="26"/>
          <w:szCs w:val="26"/>
        </w:rPr>
      </w:pPr>
    </w:p>
    <w:sectPr w:rsidR="00CD4C9A" w:rsidRPr="00884016" w:rsidSect="00282E2E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85" w:rsidRDefault="00263B85" w:rsidP="00406A4D">
      <w:pPr>
        <w:spacing w:after="0" w:line="240" w:lineRule="auto"/>
      </w:pPr>
      <w:r>
        <w:separator/>
      </w:r>
    </w:p>
  </w:endnote>
  <w:endnote w:type="continuationSeparator" w:id="1">
    <w:p w:rsidR="00263B85" w:rsidRDefault="00263B85" w:rsidP="0040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92797"/>
      <w:docPartObj>
        <w:docPartGallery w:val="Page Numbers (Bottom of Page)"/>
        <w:docPartUnique/>
      </w:docPartObj>
    </w:sdtPr>
    <w:sdtContent>
      <w:p w:rsidR="00406A4D" w:rsidRDefault="00AC0978">
        <w:pPr>
          <w:pStyle w:val="Pieddepage"/>
          <w:jc w:val="center"/>
        </w:pPr>
        <w:r>
          <w:fldChar w:fldCharType="begin"/>
        </w:r>
        <w:r w:rsidR="00A51024">
          <w:instrText xml:space="preserve"> PAGE   \* MERGEFORMAT </w:instrText>
        </w:r>
        <w:r>
          <w:fldChar w:fldCharType="separate"/>
        </w:r>
        <w:r w:rsidR="00B07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A4D" w:rsidRDefault="00406A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85" w:rsidRDefault="00263B85" w:rsidP="00406A4D">
      <w:pPr>
        <w:spacing w:after="0" w:line="240" w:lineRule="auto"/>
      </w:pPr>
      <w:r>
        <w:separator/>
      </w:r>
    </w:p>
  </w:footnote>
  <w:footnote w:type="continuationSeparator" w:id="1">
    <w:p w:rsidR="00263B85" w:rsidRDefault="00263B85" w:rsidP="0040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EF6"/>
    <w:multiLevelType w:val="hybridMultilevel"/>
    <w:tmpl w:val="BC546624"/>
    <w:lvl w:ilvl="0" w:tplc="142C5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C5E"/>
    <w:rsid w:val="000531A6"/>
    <w:rsid w:val="00123FF4"/>
    <w:rsid w:val="00182EEA"/>
    <w:rsid w:val="00190C04"/>
    <w:rsid w:val="001937EF"/>
    <w:rsid w:val="001E3425"/>
    <w:rsid w:val="001F37CF"/>
    <w:rsid w:val="002347E5"/>
    <w:rsid w:val="0024149A"/>
    <w:rsid w:val="00263B85"/>
    <w:rsid w:val="00282E2E"/>
    <w:rsid w:val="002A05FB"/>
    <w:rsid w:val="00320E1A"/>
    <w:rsid w:val="00360BDC"/>
    <w:rsid w:val="00406A4D"/>
    <w:rsid w:val="005C1320"/>
    <w:rsid w:val="00605C41"/>
    <w:rsid w:val="00664CEC"/>
    <w:rsid w:val="0068595C"/>
    <w:rsid w:val="00690B56"/>
    <w:rsid w:val="007E0F23"/>
    <w:rsid w:val="007E69FF"/>
    <w:rsid w:val="009266C8"/>
    <w:rsid w:val="00976FA6"/>
    <w:rsid w:val="009D4856"/>
    <w:rsid w:val="00A51024"/>
    <w:rsid w:val="00A655E8"/>
    <w:rsid w:val="00AB66BF"/>
    <w:rsid w:val="00AC0978"/>
    <w:rsid w:val="00AC5047"/>
    <w:rsid w:val="00B079CB"/>
    <w:rsid w:val="00BC5C39"/>
    <w:rsid w:val="00BE31E0"/>
    <w:rsid w:val="00BF7FC4"/>
    <w:rsid w:val="00C038A0"/>
    <w:rsid w:val="00C41342"/>
    <w:rsid w:val="00C54602"/>
    <w:rsid w:val="00CD4C9A"/>
    <w:rsid w:val="00CE44DD"/>
    <w:rsid w:val="00D46EFA"/>
    <w:rsid w:val="00DA0C5E"/>
    <w:rsid w:val="00E2667B"/>
    <w:rsid w:val="00ED3CF2"/>
    <w:rsid w:val="00F37AE8"/>
    <w:rsid w:val="00F8654D"/>
    <w:rsid w:val="00F91D48"/>
    <w:rsid w:val="00FC58C2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E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5FB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90B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0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6A4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A4D"/>
    <w:rPr>
      <w:rFonts w:eastAsiaTheme="minorEastAsia"/>
      <w:lang w:eastAsia="fr-FR"/>
    </w:rPr>
  </w:style>
  <w:style w:type="table" w:styleId="Ombrageclair">
    <w:name w:val="Light Shading"/>
    <w:basedOn w:val="TableauNormal"/>
    <w:uiPriority w:val="60"/>
    <w:rsid w:val="00320E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6E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lesamisfse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PCS</cp:lastModifiedBy>
  <cp:revision>2</cp:revision>
  <cp:lastPrinted>2021-02-11T11:32:00Z</cp:lastPrinted>
  <dcterms:created xsi:type="dcterms:W3CDTF">2021-04-01T13:11:00Z</dcterms:created>
  <dcterms:modified xsi:type="dcterms:W3CDTF">2021-04-01T13:11:00Z</dcterms:modified>
</cp:coreProperties>
</file>